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323F" w:rsidRPr="00A56A6A" w:rsidRDefault="002C127E" w:rsidP="002C127E">
      <w:pPr>
        <w:jc w:val="center"/>
        <w:rPr>
          <w:rFonts w:asciiTheme="minorHAnsi" w:hAnsiTheme="minorHAnsi"/>
          <w:b/>
        </w:rPr>
      </w:pPr>
      <w:r w:rsidRPr="00A56A6A">
        <w:rPr>
          <w:rFonts w:asciiTheme="minorHAnsi" w:hAnsiTheme="minorHAnsi"/>
          <w:b/>
        </w:rPr>
        <w:t>Quality Control (QC) report</w:t>
      </w:r>
    </w:p>
    <w:tbl>
      <w:tblPr>
        <w:tblStyle w:val="TableGrid"/>
        <w:tblW w:w="0" w:type="auto"/>
        <w:tblLook w:val="04A0" w:firstRow="1" w:lastRow="0" w:firstColumn="1" w:lastColumn="0" w:noHBand="0" w:noVBand="1"/>
      </w:tblPr>
      <w:tblGrid>
        <w:gridCol w:w="4219"/>
        <w:gridCol w:w="5357"/>
      </w:tblGrid>
      <w:tr w:rsidR="002C127E" w:rsidRPr="00A56A6A" w:rsidTr="00B17774">
        <w:tc>
          <w:tcPr>
            <w:tcW w:w="4219" w:type="dxa"/>
            <w:vAlign w:val="center"/>
          </w:tcPr>
          <w:p w:rsidR="002C127E" w:rsidRPr="00A56A6A" w:rsidRDefault="002C127E" w:rsidP="00B971E4">
            <w:pPr>
              <w:rPr>
                <w:rFonts w:asciiTheme="minorHAnsi" w:hAnsiTheme="minorHAnsi"/>
                <w:b/>
              </w:rPr>
            </w:pPr>
            <w:r w:rsidRPr="00A56A6A">
              <w:rPr>
                <w:rFonts w:asciiTheme="minorHAnsi" w:hAnsiTheme="minorHAnsi"/>
                <w:b/>
              </w:rPr>
              <w:t>Sector</w:t>
            </w:r>
          </w:p>
        </w:tc>
        <w:tc>
          <w:tcPr>
            <w:tcW w:w="5357" w:type="dxa"/>
            <w:vAlign w:val="center"/>
          </w:tcPr>
          <w:p w:rsidR="002C127E" w:rsidRPr="00A56A6A" w:rsidRDefault="00166D9A" w:rsidP="00B971E4">
            <w:pPr>
              <w:rPr>
                <w:rFonts w:asciiTheme="minorHAnsi" w:hAnsiTheme="minorHAnsi"/>
              </w:rPr>
            </w:pPr>
            <w:r w:rsidRPr="00A56A6A">
              <w:rPr>
                <w:rFonts w:asciiTheme="minorHAnsi" w:hAnsiTheme="minorHAnsi"/>
              </w:rPr>
              <w:t>Power</w:t>
            </w:r>
          </w:p>
        </w:tc>
      </w:tr>
      <w:tr w:rsidR="002C127E" w:rsidRPr="00A56A6A" w:rsidTr="00B17774">
        <w:tc>
          <w:tcPr>
            <w:tcW w:w="4219" w:type="dxa"/>
            <w:vAlign w:val="center"/>
          </w:tcPr>
          <w:p w:rsidR="002C127E" w:rsidRPr="00A56A6A" w:rsidRDefault="002C127E" w:rsidP="00B971E4">
            <w:pPr>
              <w:rPr>
                <w:rFonts w:asciiTheme="minorHAnsi" w:hAnsiTheme="minorHAnsi"/>
                <w:b/>
              </w:rPr>
            </w:pPr>
            <w:r w:rsidRPr="00A56A6A">
              <w:rPr>
                <w:rFonts w:asciiTheme="minorHAnsi" w:hAnsiTheme="minorHAnsi"/>
                <w:b/>
              </w:rPr>
              <w:t>Name of DNA</w:t>
            </w:r>
          </w:p>
        </w:tc>
        <w:tc>
          <w:tcPr>
            <w:tcW w:w="5357" w:type="dxa"/>
            <w:vAlign w:val="center"/>
          </w:tcPr>
          <w:p w:rsidR="002C127E" w:rsidRPr="00A56A6A" w:rsidRDefault="002C127E" w:rsidP="007E7D74">
            <w:pPr>
              <w:rPr>
                <w:rFonts w:asciiTheme="minorHAnsi" w:hAnsiTheme="minorHAnsi"/>
              </w:rPr>
            </w:pPr>
            <w:r w:rsidRPr="00A56A6A">
              <w:rPr>
                <w:rFonts w:asciiTheme="minorHAnsi" w:hAnsiTheme="minorHAnsi"/>
              </w:rPr>
              <w:t xml:space="preserve">DNA of </w:t>
            </w:r>
            <w:r w:rsidR="0063439D" w:rsidRPr="00A56A6A">
              <w:rPr>
                <w:rFonts w:asciiTheme="minorHAnsi" w:hAnsiTheme="minorHAnsi"/>
              </w:rPr>
              <w:t>Sã</w:t>
            </w:r>
            <w:r w:rsidR="007E7D74" w:rsidRPr="00A56A6A">
              <w:rPr>
                <w:rFonts w:asciiTheme="minorHAnsi" w:hAnsiTheme="minorHAnsi"/>
              </w:rPr>
              <w:t>o Tom</w:t>
            </w:r>
            <w:r w:rsidR="0063439D" w:rsidRPr="00A56A6A">
              <w:rPr>
                <w:rFonts w:asciiTheme="minorHAnsi" w:hAnsiTheme="minorHAnsi"/>
              </w:rPr>
              <w:t>é</w:t>
            </w:r>
            <w:r w:rsidR="007E7D74" w:rsidRPr="00A56A6A">
              <w:rPr>
                <w:rFonts w:asciiTheme="minorHAnsi" w:hAnsiTheme="minorHAnsi"/>
              </w:rPr>
              <w:t xml:space="preserve"> and Principe</w:t>
            </w:r>
          </w:p>
          <w:p w:rsidR="007E7D74" w:rsidRPr="00A56A6A" w:rsidRDefault="007E7D74" w:rsidP="007E7D74">
            <w:pPr>
              <w:rPr>
                <w:rFonts w:asciiTheme="minorHAnsi" w:hAnsiTheme="minorHAnsi"/>
              </w:rPr>
            </w:pPr>
            <w:r w:rsidRPr="00A56A6A">
              <w:rPr>
                <w:rFonts w:asciiTheme="minorHAnsi" w:hAnsiTheme="minorHAnsi"/>
              </w:rPr>
              <w:t>(Directorate General for the Environment, Ministry of Public Works and Natural Resources)</w:t>
            </w:r>
          </w:p>
        </w:tc>
      </w:tr>
      <w:tr w:rsidR="002C127E" w:rsidRPr="00A56A6A" w:rsidTr="00B17774">
        <w:tc>
          <w:tcPr>
            <w:tcW w:w="4219" w:type="dxa"/>
            <w:vAlign w:val="center"/>
          </w:tcPr>
          <w:p w:rsidR="002C127E" w:rsidRPr="00A56A6A" w:rsidRDefault="002C127E" w:rsidP="00166D9A">
            <w:pPr>
              <w:rPr>
                <w:rFonts w:asciiTheme="minorHAnsi" w:hAnsiTheme="minorHAnsi"/>
                <w:b/>
              </w:rPr>
            </w:pPr>
            <w:r w:rsidRPr="00A56A6A">
              <w:rPr>
                <w:rFonts w:asciiTheme="minorHAnsi" w:hAnsiTheme="minorHAnsi"/>
                <w:b/>
              </w:rPr>
              <w:t xml:space="preserve">Primary </w:t>
            </w:r>
            <w:r w:rsidR="00166D9A" w:rsidRPr="00A56A6A">
              <w:rPr>
                <w:rFonts w:asciiTheme="minorHAnsi" w:hAnsiTheme="minorHAnsi"/>
                <w:b/>
              </w:rPr>
              <w:t>Person Responsible for QC Procedures</w:t>
            </w:r>
          </w:p>
        </w:tc>
        <w:tc>
          <w:tcPr>
            <w:tcW w:w="5357" w:type="dxa"/>
            <w:vAlign w:val="center"/>
          </w:tcPr>
          <w:p w:rsidR="002C127E" w:rsidRPr="00A56A6A" w:rsidRDefault="0063439D" w:rsidP="00B971E4">
            <w:pPr>
              <w:rPr>
                <w:rFonts w:asciiTheme="minorHAnsi" w:hAnsiTheme="minorHAnsi"/>
              </w:rPr>
            </w:pPr>
            <w:r w:rsidRPr="00A56A6A">
              <w:rPr>
                <w:rFonts w:asciiTheme="minorHAnsi" w:hAnsiTheme="minorHAnsi"/>
              </w:rPr>
              <w:t xml:space="preserve">Mr. </w:t>
            </w:r>
            <w:proofErr w:type="spellStart"/>
            <w:r w:rsidRPr="00A56A6A">
              <w:rPr>
                <w:rFonts w:asciiTheme="minorHAnsi" w:hAnsiTheme="minorHAnsi"/>
              </w:rPr>
              <w:t>Madival</w:t>
            </w:r>
            <w:proofErr w:type="spellEnd"/>
            <w:r w:rsidRPr="00A56A6A">
              <w:rPr>
                <w:rFonts w:asciiTheme="minorHAnsi" w:hAnsiTheme="minorHAnsi"/>
              </w:rPr>
              <w:t xml:space="preserve"> Alva das </w:t>
            </w:r>
            <w:proofErr w:type="spellStart"/>
            <w:r w:rsidRPr="00A56A6A">
              <w:rPr>
                <w:rFonts w:asciiTheme="minorHAnsi" w:hAnsiTheme="minorHAnsi"/>
              </w:rPr>
              <w:t>Neves</w:t>
            </w:r>
            <w:proofErr w:type="spellEnd"/>
          </w:p>
        </w:tc>
      </w:tr>
      <w:tr w:rsidR="002C127E" w:rsidRPr="00A56A6A" w:rsidTr="00B17774">
        <w:tc>
          <w:tcPr>
            <w:tcW w:w="4219" w:type="dxa"/>
            <w:vAlign w:val="center"/>
          </w:tcPr>
          <w:p w:rsidR="002C127E" w:rsidRPr="00A56A6A" w:rsidRDefault="00B971E4" w:rsidP="00B971E4">
            <w:pPr>
              <w:rPr>
                <w:rFonts w:asciiTheme="minorHAnsi" w:hAnsiTheme="minorHAnsi"/>
                <w:b/>
              </w:rPr>
            </w:pPr>
            <w:r w:rsidRPr="00A56A6A">
              <w:rPr>
                <w:rFonts w:asciiTheme="minorHAnsi" w:hAnsiTheme="minorHAnsi"/>
                <w:b/>
              </w:rPr>
              <w:t xml:space="preserve">Contact info of the </w:t>
            </w:r>
            <w:r w:rsidR="00166D9A" w:rsidRPr="00A56A6A">
              <w:rPr>
                <w:rFonts w:asciiTheme="minorHAnsi" w:hAnsiTheme="minorHAnsi"/>
                <w:b/>
              </w:rPr>
              <w:t>Primary Person Responsible</w:t>
            </w:r>
          </w:p>
        </w:tc>
        <w:tc>
          <w:tcPr>
            <w:tcW w:w="5357" w:type="dxa"/>
            <w:vAlign w:val="center"/>
          </w:tcPr>
          <w:p w:rsidR="002C127E" w:rsidRPr="00A56A6A" w:rsidRDefault="00E438BA" w:rsidP="0063439D">
            <w:pPr>
              <w:rPr>
                <w:rFonts w:asciiTheme="minorHAnsi" w:hAnsiTheme="minorHAnsi"/>
                <w:lang w:val="fr-FR"/>
              </w:rPr>
            </w:pPr>
            <w:proofErr w:type="spellStart"/>
            <w:r w:rsidRPr="00A56A6A">
              <w:rPr>
                <w:rFonts w:asciiTheme="minorHAnsi" w:hAnsiTheme="minorHAnsi"/>
                <w:lang w:val="fr-FR"/>
              </w:rPr>
              <w:t>Dire</w:t>
            </w:r>
            <w:r w:rsidR="0063439D" w:rsidRPr="00A56A6A">
              <w:rPr>
                <w:rFonts w:asciiTheme="minorHAnsi" w:hAnsiTheme="minorHAnsi"/>
                <w:lang w:val="fr-FR"/>
              </w:rPr>
              <w:t>ção</w:t>
            </w:r>
            <w:proofErr w:type="spellEnd"/>
            <w:r w:rsidR="0063439D" w:rsidRPr="00A56A6A">
              <w:rPr>
                <w:rFonts w:asciiTheme="minorHAnsi" w:hAnsiTheme="minorHAnsi"/>
                <w:lang w:val="fr-FR"/>
              </w:rPr>
              <w:t xml:space="preserve"> Geral do </w:t>
            </w:r>
            <w:proofErr w:type="spellStart"/>
            <w:r w:rsidR="0063439D" w:rsidRPr="00A56A6A">
              <w:rPr>
                <w:rFonts w:asciiTheme="minorHAnsi" w:hAnsiTheme="minorHAnsi"/>
                <w:lang w:val="fr-FR"/>
              </w:rPr>
              <w:t>Ambiente</w:t>
            </w:r>
            <w:proofErr w:type="spellEnd"/>
          </w:p>
          <w:p w:rsidR="0063439D" w:rsidRPr="00A56A6A" w:rsidRDefault="0063439D" w:rsidP="0063439D">
            <w:pPr>
              <w:rPr>
                <w:rFonts w:asciiTheme="minorHAnsi" w:hAnsiTheme="minorHAnsi"/>
                <w:lang w:val="fr-FR"/>
              </w:rPr>
            </w:pPr>
            <w:proofErr w:type="spellStart"/>
            <w:r w:rsidRPr="00A56A6A">
              <w:rPr>
                <w:rFonts w:asciiTheme="minorHAnsi" w:hAnsiTheme="minorHAnsi"/>
                <w:lang w:val="fr-FR"/>
              </w:rPr>
              <w:t>Avenda</w:t>
            </w:r>
            <w:proofErr w:type="spellEnd"/>
            <w:r w:rsidRPr="00A56A6A">
              <w:rPr>
                <w:rFonts w:asciiTheme="minorHAnsi" w:hAnsiTheme="minorHAnsi"/>
                <w:lang w:val="fr-FR"/>
              </w:rPr>
              <w:t xml:space="preserve"> </w:t>
            </w:r>
            <w:proofErr w:type="spellStart"/>
            <w:r w:rsidRPr="00A56A6A">
              <w:rPr>
                <w:rFonts w:asciiTheme="minorHAnsi" w:hAnsiTheme="minorHAnsi"/>
                <w:lang w:val="fr-FR"/>
              </w:rPr>
              <w:t>Kwame</w:t>
            </w:r>
            <w:proofErr w:type="spellEnd"/>
            <w:r w:rsidRPr="00A56A6A">
              <w:rPr>
                <w:rFonts w:asciiTheme="minorHAnsi" w:hAnsiTheme="minorHAnsi"/>
                <w:lang w:val="fr-FR"/>
              </w:rPr>
              <w:t xml:space="preserve"> N’</w:t>
            </w:r>
            <w:proofErr w:type="spellStart"/>
            <w:r w:rsidRPr="00A56A6A">
              <w:rPr>
                <w:rFonts w:asciiTheme="minorHAnsi" w:hAnsiTheme="minorHAnsi"/>
                <w:lang w:val="fr-FR"/>
              </w:rPr>
              <w:t>kruma</w:t>
            </w:r>
            <w:proofErr w:type="spellEnd"/>
          </w:p>
          <w:p w:rsidR="0063439D" w:rsidRPr="00A56A6A" w:rsidRDefault="0063439D" w:rsidP="0063439D">
            <w:pPr>
              <w:rPr>
                <w:rFonts w:asciiTheme="minorHAnsi" w:hAnsiTheme="minorHAnsi"/>
                <w:lang w:val="fr-FR"/>
              </w:rPr>
            </w:pPr>
            <w:r w:rsidRPr="00A56A6A">
              <w:rPr>
                <w:rFonts w:asciiTheme="minorHAnsi" w:hAnsiTheme="minorHAnsi"/>
                <w:lang w:val="fr-FR"/>
              </w:rPr>
              <w:t>C.P. 1023, São Tomé</w:t>
            </w:r>
          </w:p>
          <w:p w:rsidR="0063439D" w:rsidRPr="00A56A6A" w:rsidRDefault="0063439D" w:rsidP="0063439D">
            <w:pPr>
              <w:rPr>
                <w:rFonts w:asciiTheme="minorHAnsi" w:hAnsiTheme="minorHAnsi"/>
                <w:lang w:val="fr-FR"/>
              </w:rPr>
            </w:pPr>
            <w:r w:rsidRPr="00A56A6A">
              <w:rPr>
                <w:rFonts w:asciiTheme="minorHAnsi" w:hAnsiTheme="minorHAnsi"/>
                <w:lang w:val="fr-FR"/>
              </w:rPr>
              <w:t>São Tomé e Principe</w:t>
            </w:r>
          </w:p>
          <w:p w:rsidR="0063439D" w:rsidRPr="00A56A6A" w:rsidRDefault="0063439D" w:rsidP="0063439D">
            <w:pPr>
              <w:rPr>
                <w:rFonts w:asciiTheme="minorHAnsi" w:hAnsiTheme="minorHAnsi"/>
                <w:lang w:val="fr-FR"/>
              </w:rPr>
            </w:pPr>
            <w:r w:rsidRPr="00A56A6A">
              <w:rPr>
                <w:rFonts w:asciiTheme="minorHAnsi" w:hAnsiTheme="minorHAnsi"/>
                <w:lang w:val="fr-FR"/>
              </w:rPr>
              <w:t xml:space="preserve">Email: </w:t>
            </w:r>
            <w:hyperlink r:id="rId6" w:history="1">
              <w:r w:rsidRPr="00A56A6A">
                <w:rPr>
                  <w:rStyle w:val="Hyperlink"/>
                  <w:rFonts w:asciiTheme="minorHAnsi" w:hAnsiTheme="minorHAnsi"/>
                  <w:lang w:val="fr-FR"/>
                </w:rPr>
                <w:t>Madaval15@hotmail.com</w:t>
              </w:r>
            </w:hyperlink>
          </w:p>
          <w:p w:rsidR="0063439D" w:rsidRPr="00A56A6A" w:rsidRDefault="0063439D" w:rsidP="0063439D">
            <w:pPr>
              <w:rPr>
                <w:rFonts w:asciiTheme="minorHAnsi" w:hAnsiTheme="minorHAnsi"/>
              </w:rPr>
            </w:pPr>
            <w:r w:rsidRPr="00A56A6A">
              <w:rPr>
                <w:rFonts w:asciiTheme="minorHAnsi" w:hAnsiTheme="minorHAnsi"/>
              </w:rPr>
              <w:t>Telephone: (+239) 222 5323</w:t>
            </w:r>
          </w:p>
          <w:p w:rsidR="0063439D" w:rsidRPr="00A56A6A" w:rsidRDefault="0063439D" w:rsidP="0063439D">
            <w:pPr>
              <w:rPr>
                <w:rFonts w:asciiTheme="minorHAnsi" w:hAnsiTheme="minorHAnsi"/>
                <w:lang w:val="fr-FR"/>
              </w:rPr>
            </w:pPr>
            <w:r w:rsidRPr="00A56A6A">
              <w:rPr>
                <w:rFonts w:asciiTheme="minorHAnsi" w:hAnsiTheme="minorHAnsi"/>
                <w:lang w:val="fr-FR"/>
              </w:rPr>
              <w:t>Fax: (+239) 222 7156</w:t>
            </w:r>
          </w:p>
        </w:tc>
      </w:tr>
      <w:tr w:rsidR="002C127E" w:rsidRPr="00A56A6A" w:rsidTr="00B17774">
        <w:tc>
          <w:tcPr>
            <w:tcW w:w="4219" w:type="dxa"/>
            <w:vAlign w:val="center"/>
          </w:tcPr>
          <w:p w:rsidR="002C127E" w:rsidRPr="00A56A6A" w:rsidRDefault="002C127E" w:rsidP="00B971E4">
            <w:pPr>
              <w:rPr>
                <w:rFonts w:asciiTheme="minorHAnsi" w:hAnsiTheme="minorHAnsi"/>
                <w:b/>
              </w:rPr>
            </w:pPr>
            <w:r w:rsidRPr="00A56A6A">
              <w:rPr>
                <w:rFonts w:asciiTheme="minorHAnsi" w:hAnsiTheme="minorHAnsi"/>
                <w:b/>
              </w:rPr>
              <w:t xml:space="preserve">Implementation </w:t>
            </w:r>
            <w:r w:rsidR="00166D9A" w:rsidRPr="00A56A6A">
              <w:rPr>
                <w:rFonts w:asciiTheme="minorHAnsi" w:hAnsiTheme="minorHAnsi"/>
                <w:b/>
              </w:rPr>
              <w:t>D</w:t>
            </w:r>
            <w:r w:rsidRPr="00A56A6A">
              <w:rPr>
                <w:rFonts w:asciiTheme="minorHAnsi" w:hAnsiTheme="minorHAnsi"/>
                <w:b/>
              </w:rPr>
              <w:t>ate</w:t>
            </w:r>
            <w:r w:rsidR="00166D9A" w:rsidRPr="00A56A6A">
              <w:rPr>
                <w:rFonts w:asciiTheme="minorHAnsi" w:hAnsiTheme="minorHAnsi"/>
                <w:b/>
              </w:rPr>
              <w:t>s</w:t>
            </w:r>
            <w:r w:rsidRPr="00A56A6A">
              <w:rPr>
                <w:rFonts w:asciiTheme="minorHAnsi" w:hAnsiTheme="minorHAnsi"/>
                <w:b/>
              </w:rPr>
              <w:t xml:space="preserve"> of QC </w:t>
            </w:r>
            <w:r w:rsidR="00166D9A" w:rsidRPr="00A56A6A">
              <w:rPr>
                <w:rFonts w:asciiTheme="minorHAnsi" w:hAnsiTheme="minorHAnsi"/>
                <w:b/>
              </w:rPr>
              <w:t>P</w:t>
            </w:r>
            <w:r w:rsidRPr="00A56A6A">
              <w:rPr>
                <w:rFonts w:asciiTheme="minorHAnsi" w:hAnsiTheme="minorHAnsi"/>
                <w:b/>
              </w:rPr>
              <w:t>rocedures</w:t>
            </w:r>
          </w:p>
        </w:tc>
        <w:tc>
          <w:tcPr>
            <w:tcW w:w="5357" w:type="dxa"/>
            <w:vAlign w:val="center"/>
          </w:tcPr>
          <w:p w:rsidR="002C127E" w:rsidRPr="00A56A6A" w:rsidRDefault="002C127E" w:rsidP="00E44EEF">
            <w:pPr>
              <w:rPr>
                <w:rFonts w:asciiTheme="minorHAnsi" w:hAnsiTheme="minorHAnsi"/>
              </w:rPr>
            </w:pPr>
            <w:r w:rsidRPr="00A56A6A">
              <w:rPr>
                <w:rFonts w:asciiTheme="minorHAnsi" w:hAnsiTheme="minorHAnsi"/>
              </w:rPr>
              <w:t xml:space="preserve">From the date of </w:t>
            </w:r>
            <w:r w:rsidR="00E44EEF" w:rsidRPr="00A56A6A">
              <w:rPr>
                <w:rFonts w:asciiTheme="minorHAnsi" w:hAnsiTheme="minorHAnsi"/>
              </w:rPr>
              <w:t>submission</w:t>
            </w:r>
            <w:r w:rsidR="007E7D74" w:rsidRPr="00A56A6A">
              <w:rPr>
                <w:rFonts w:asciiTheme="minorHAnsi" w:hAnsiTheme="minorHAnsi"/>
              </w:rPr>
              <w:t xml:space="preserve"> of </w:t>
            </w:r>
            <w:r w:rsidR="00D80129" w:rsidRPr="00A56A6A">
              <w:rPr>
                <w:rFonts w:asciiTheme="minorHAnsi" w:hAnsiTheme="minorHAnsi"/>
              </w:rPr>
              <w:t xml:space="preserve">the </w:t>
            </w:r>
            <w:r w:rsidR="00063D0B" w:rsidRPr="00A56A6A">
              <w:rPr>
                <w:rFonts w:asciiTheme="minorHAnsi" w:hAnsiTheme="minorHAnsi"/>
              </w:rPr>
              <w:t xml:space="preserve">SBL </w:t>
            </w:r>
            <w:r w:rsidR="0018071B" w:rsidRPr="00A56A6A">
              <w:rPr>
                <w:rFonts w:asciiTheme="minorHAnsi" w:hAnsiTheme="minorHAnsi"/>
              </w:rPr>
              <w:t>“</w:t>
            </w:r>
            <w:r w:rsidR="00063D0B" w:rsidRPr="00A56A6A">
              <w:rPr>
                <w:rFonts w:asciiTheme="minorHAnsi" w:hAnsiTheme="minorHAnsi"/>
              </w:rPr>
              <w:t xml:space="preserve">Grid Emission Factor for </w:t>
            </w:r>
            <w:r w:rsidR="0018071B" w:rsidRPr="00A56A6A">
              <w:rPr>
                <w:rFonts w:asciiTheme="minorHAnsi" w:hAnsiTheme="minorHAnsi"/>
              </w:rPr>
              <w:t>São Tomé and Principe</w:t>
            </w:r>
            <w:r w:rsidR="00063D0B" w:rsidRPr="00A56A6A">
              <w:rPr>
                <w:rFonts w:asciiTheme="minorHAnsi" w:hAnsiTheme="minorHAnsi"/>
              </w:rPr>
              <w:t>”</w:t>
            </w:r>
            <w:r w:rsidR="00D80129" w:rsidRPr="00A56A6A">
              <w:rPr>
                <w:rFonts w:asciiTheme="minorHAnsi" w:hAnsiTheme="minorHAnsi"/>
              </w:rPr>
              <w:t xml:space="preserve"> </w:t>
            </w:r>
            <w:r w:rsidR="00E44EEF" w:rsidRPr="00A56A6A">
              <w:rPr>
                <w:rFonts w:asciiTheme="minorHAnsi" w:hAnsiTheme="minorHAnsi"/>
              </w:rPr>
              <w:t>in November 2013 and for the duration of the SBL after approval</w:t>
            </w:r>
            <w:r w:rsidR="00D80129" w:rsidRPr="00A56A6A">
              <w:rPr>
                <w:rFonts w:asciiTheme="minorHAnsi" w:hAnsiTheme="minorHAnsi"/>
              </w:rPr>
              <w:t xml:space="preserve">. The same will be applicable for the renewal process of </w:t>
            </w:r>
            <w:r w:rsidR="00E44EEF" w:rsidRPr="00A56A6A">
              <w:rPr>
                <w:rFonts w:asciiTheme="minorHAnsi" w:hAnsiTheme="minorHAnsi"/>
              </w:rPr>
              <w:t xml:space="preserve">the </w:t>
            </w:r>
            <w:r w:rsidR="00D80129" w:rsidRPr="00A56A6A">
              <w:rPr>
                <w:rFonts w:asciiTheme="minorHAnsi" w:hAnsiTheme="minorHAnsi"/>
              </w:rPr>
              <w:t>SBL.</w:t>
            </w:r>
          </w:p>
        </w:tc>
      </w:tr>
      <w:tr w:rsidR="002C127E" w:rsidRPr="00A56A6A" w:rsidTr="002C127E">
        <w:tc>
          <w:tcPr>
            <w:tcW w:w="9576" w:type="dxa"/>
            <w:gridSpan w:val="2"/>
            <w:shd w:val="clear" w:color="auto" w:fill="D9D9D9" w:themeFill="background1" w:themeFillShade="D9"/>
          </w:tcPr>
          <w:p w:rsidR="002C127E" w:rsidRPr="00A56A6A" w:rsidRDefault="002C127E" w:rsidP="00166D9A">
            <w:pPr>
              <w:rPr>
                <w:rFonts w:asciiTheme="minorHAnsi" w:hAnsiTheme="minorHAnsi"/>
                <w:b/>
              </w:rPr>
            </w:pPr>
            <w:r w:rsidRPr="00A56A6A">
              <w:rPr>
                <w:rFonts w:asciiTheme="minorHAnsi" w:hAnsiTheme="minorHAnsi"/>
                <w:b/>
              </w:rPr>
              <w:t xml:space="preserve">Please describe how </w:t>
            </w:r>
            <w:r w:rsidR="00166D9A" w:rsidRPr="00A56A6A">
              <w:rPr>
                <w:rFonts w:asciiTheme="minorHAnsi" w:hAnsiTheme="minorHAnsi"/>
                <w:b/>
              </w:rPr>
              <w:t xml:space="preserve">your </w:t>
            </w:r>
            <w:r w:rsidRPr="00A56A6A">
              <w:rPr>
                <w:rFonts w:asciiTheme="minorHAnsi" w:hAnsiTheme="minorHAnsi"/>
                <w:b/>
              </w:rPr>
              <w:t>QC procedures were implemented</w:t>
            </w:r>
          </w:p>
        </w:tc>
      </w:tr>
      <w:tr w:rsidR="002C127E" w:rsidRPr="00A56A6A" w:rsidTr="009567C3">
        <w:tc>
          <w:tcPr>
            <w:tcW w:w="9576" w:type="dxa"/>
            <w:gridSpan w:val="2"/>
          </w:tcPr>
          <w:p w:rsidR="00B971E4" w:rsidRPr="00A56A6A" w:rsidRDefault="00B971E4" w:rsidP="00B971E4">
            <w:pPr>
              <w:rPr>
                <w:rFonts w:asciiTheme="minorHAnsi" w:hAnsiTheme="minorHAnsi"/>
              </w:rPr>
            </w:pPr>
            <w:r w:rsidRPr="00A56A6A">
              <w:rPr>
                <w:rFonts w:asciiTheme="minorHAnsi" w:hAnsiTheme="minorHAnsi"/>
              </w:rPr>
              <w:t xml:space="preserve">All data </w:t>
            </w:r>
            <w:r w:rsidR="0018071B" w:rsidRPr="00A56A6A">
              <w:rPr>
                <w:rFonts w:asciiTheme="minorHAnsi" w:hAnsiTheme="minorHAnsi"/>
              </w:rPr>
              <w:t xml:space="preserve">sources have been provided in the </w:t>
            </w:r>
            <w:r w:rsidR="008C02F4" w:rsidRPr="00A56A6A">
              <w:rPr>
                <w:rFonts w:asciiTheme="minorHAnsi" w:hAnsiTheme="minorHAnsi"/>
              </w:rPr>
              <w:t xml:space="preserve">São Tomé and Principe </w:t>
            </w:r>
            <w:r w:rsidR="0018071B" w:rsidRPr="00A56A6A">
              <w:rPr>
                <w:rFonts w:asciiTheme="minorHAnsi" w:hAnsiTheme="minorHAnsi"/>
              </w:rPr>
              <w:t xml:space="preserve">GEF Calculation Report and the GEF calculation sheet submitted with the CDM-PSB form. All data on electricity generation and fossil fuel consumption are provided by the state's Water and Electricity Company (EMAE) of São Tomé and Principe. </w:t>
            </w:r>
          </w:p>
          <w:p w:rsidR="00B971E4" w:rsidRPr="00A56A6A" w:rsidRDefault="00B971E4" w:rsidP="00B971E4">
            <w:pPr>
              <w:rPr>
                <w:rFonts w:asciiTheme="minorHAnsi" w:hAnsiTheme="minorHAnsi"/>
              </w:rPr>
            </w:pPr>
          </w:p>
          <w:p w:rsidR="002C127E" w:rsidRPr="00A56A6A" w:rsidRDefault="00B971E4" w:rsidP="00B971E4">
            <w:pPr>
              <w:rPr>
                <w:rFonts w:asciiTheme="minorHAnsi" w:hAnsiTheme="minorHAnsi"/>
              </w:rPr>
            </w:pPr>
            <w:r w:rsidRPr="00A56A6A">
              <w:rPr>
                <w:rFonts w:asciiTheme="minorHAnsi" w:hAnsiTheme="minorHAnsi"/>
              </w:rPr>
              <w:t>The data and information that were checked are as follows:</w:t>
            </w:r>
          </w:p>
          <w:tbl>
            <w:tblPr>
              <w:tblStyle w:val="TableGrid"/>
              <w:tblW w:w="0" w:type="auto"/>
              <w:tblLook w:val="04A0" w:firstRow="1" w:lastRow="0" w:firstColumn="1" w:lastColumn="0" w:noHBand="0" w:noVBand="1"/>
            </w:tblPr>
            <w:tblGrid>
              <w:gridCol w:w="3256"/>
              <w:gridCol w:w="1701"/>
              <w:gridCol w:w="4388"/>
            </w:tblGrid>
            <w:tr w:rsidR="00B971E4" w:rsidRPr="00A56A6A" w:rsidTr="00344CE0">
              <w:tc>
                <w:tcPr>
                  <w:tcW w:w="3256" w:type="dxa"/>
                </w:tcPr>
                <w:p w:rsidR="00B971E4" w:rsidRPr="00A56A6A" w:rsidRDefault="00B971E4" w:rsidP="00B971E4">
                  <w:pPr>
                    <w:rPr>
                      <w:rFonts w:asciiTheme="minorHAnsi" w:hAnsiTheme="minorHAnsi"/>
                      <w:b/>
                    </w:rPr>
                  </w:pPr>
                  <w:r w:rsidRPr="00A56A6A">
                    <w:rPr>
                      <w:rFonts w:asciiTheme="minorHAnsi" w:hAnsiTheme="minorHAnsi"/>
                      <w:b/>
                    </w:rPr>
                    <w:t>Data</w:t>
                  </w:r>
                </w:p>
              </w:tc>
              <w:tc>
                <w:tcPr>
                  <w:tcW w:w="1701" w:type="dxa"/>
                </w:tcPr>
                <w:p w:rsidR="00B971E4" w:rsidRPr="00A56A6A" w:rsidRDefault="00B971E4" w:rsidP="00B971E4">
                  <w:pPr>
                    <w:rPr>
                      <w:rFonts w:asciiTheme="minorHAnsi" w:hAnsiTheme="minorHAnsi"/>
                      <w:b/>
                    </w:rPr>
                  </w:pPr>
                  <w:r w:rsidRPr="00A56A6A">
                    <w:rPr>
                      <w:rFonts w:asciiTheme="minorHAnsi" w:hAnsiTheme="minorHAnsi"/>
                      <w:b/>
                    </w:rPr>
                    <w:t>Source</w:t>
                  </w:r>
                </w:p>
              </w:tc>
              <w:tc>
                <w:tcPr>
                  <w:tcW w:w="4388" w:type="dxa"/>
                </w:tcPr>
                <w:p w:rsidR="00B971E4" w:rsidRPr="00A56A6A" w:rsidRDefault="00B971E4" w:rsidP="00B971E4">
                  <w:pPr>
                    <w:rPr>
                      <w:rFonts w:asciiTheme="minorHAnsi" w:hAnsiTheme="minorHAnsi"/>
                      <w:b/>
                    </w:rPr>
                  </w:pPr>
                  <w:r w:rsidRPr="00A56A6A">
                    <w:rPr>
                      <w:rFonts w:asciiTheme="minorHAnsi" w:hAnsiTheme="minorHAnsi"/>
                      <w:b/>
                    </w:rPr>
                    <w:t>Cross checking method</w:t>
                  </w:r>
                </w:p>
              </w:tc>
            </w:tr>
            <w:tr w:rsidR="00B971E4" w:rsidRPr="00A56A6A" w:rsidTr="00344CE0">
              <w:tc>
                <w:tcPr>
                  <w:tcW w:w="3256" w:type="dxa"/>
                </w:tcPr>
                <w:p w:rsidR="00B971E4" w:rsidRPr="00A56A6A" w:rsidRDefault="00CA5374" w:rsidP="00B971E4">
                  <w:pPr>
                    <w:rPr>
                      <w:rFonts w:asciiTheme="minorHAnsi" w:hAnsiTheme="minorHAnsi"/>
                    </w:rPr>
                  </w:pPr>
                  <w:r w:rsidRPr="00A56A6A">
                    <w:rPr>
                      <w:rFonts w:asciiTheme="minorHAnsi" w:hAnsiTheme="minorHAnsi"/>
                    </w:rPr>
                    <w:t>Identification and detail information of grid connected power plants in São Tomé and Principe</w:t>
                  </w:r>
                </w:p>
              </w:tc>
              <w:tc>
                <w:tcPr>
                  <w:tcW w:w="1701" w:type="dxa"/>
                </w:tcPr>
                <w:p w:rsidR="00B971E4" w:rsidRPr="00A56A6A" w:rsidRDefault="00CA5374" w:rsidP="00B971E4">
                  <w:pPr>
                    <w:rPr>
                      <w:rFonts w:asciiTheme="minorHAnsi" w:hAnsiTheme="minorHAnsi"/>
                    </w:rPr>
                  </w:pPr>
                  <w:r w:rsidRPr="00A56A6A">
                    <w:rPr>
                      <w:rFonts w:asciiTheme="minorHAnsi" w:hAnsiTheme="minorHAnsi"/>
                    </w:rPr>
                    <w:t>EMAE</w:t>
                  </w:r>
                </w:p>
              </w:tc>
              <w:tc>
                <w:tcPr>
                  <w:tcW w:w="4388" w:type="dxa"/>
                </w:tcPr>
                <w:p w:rsidR="004C757A" w:rsidRPr="00A56A6A" w:rsidRDefault="00344CE0" w:rsidP="004C757A">
                  <w:pPr>
                    <w:pStyle w:val="ListParagraph"/>
                    <w:numPr>
                      <w:ilvl w:val="0"/>
                      <w:numId w:val="2"/>
                    </w:numPr>
                    <w:ind w:left="227" w:hanging="227"/>
                    <w:rPr>
                      <w:rFonts w:asciiTheme="minorHAnsi" w:hAnsiTheme="minorHAnsi"/>
                    </w:rPr>
                  </w:pPr>
                  <w:r w:rsidRPr="00A56A6A">
                    <w:rPr>
                      <w:rFonts w:asciiTheme="minorHAnsi" w:hAnsiTheme="minorHAnsi"/>
                    </w:rPr>
                    <w:t>C</w:t>
                  </w:r>
                  <w:r w:rsidR="004C757A" w:rsidRPr="00A56A6A">
                    <w:rPr>
                      <w:rFonts w:asciiTheme="minorHAnsi" w:hAnsiTheme="minorHAnsi"/>
                    </w:rPr>
                    <w:t>heck</w:t>
                  </w:r>
                  <w:r w:rsidR="000723D3" w:rsidRPr="00A56A6A">
                    <w:rPr>
                      <w:rFonts w:asciiTheme="minorHAnsi" w:hAnsiTheme="minorHAnsi"/>
                    </w:rPr>
                    <w:t xml:space="preserve"> at power plants operated by</w:t>
                  </w:r>
                  <w:r w:rsidR="004C757A" w:rsidRPr="00A56A6A">
                    <w:rPr>
                      <w:rFonts w:asciiTheme="minorHAnsi" w:hAnsiTheme="minorHAnsi"/>
                    </w:rPr>
                    <w:t xml:space="preserve"> </w:t>
                  </w:r>
                  <w:r w:rsidR="002D05C5" w:rsidRPr="00A56A6A">
                    <w:rPr>
                      <w:rFonts w:asciiTheme="minorHAnsi" w:hAnsiTheme="minorHAnsi"/>
                    </w:rPr>
                    <w:t>EMAE</w:t>
                  </w:r>
                  <w:r w:rsidR="004C757A" w:rsidRPr="00A56A6A">
                    <w:rPr>
                      <w:rFonts w:asciiTheme="minorHAnsi" w:hAnsiTheme="minorHAnsi"/>
                    </w:rPr>
                    <w:t>;</w:t>
                  </w:r>
                </w:p>
                <w:p w:rsidR="00107429" w:rsidRPr="00A56A6A" w:rsidRDefault="00344CE0" w:rsidP="000723D3">
                  <w:pPr>
                    <w:pStyle w:val="ListParagraph"/>
                    <w:numPr>
                      <w:ilvl w:val="0"/>
                      <w:numId w:val="2"/>
                    </w:numPr>
                    <w:ind w:left="227" w:hanging="227"/>
                    <w:rPr>
                      <w:rFonts w:asciiTheme="minorHAnsi" w:hAnsiTheme="minorHAnsi"/>
                    </w:rPr>
                  </w:pPr>
                  <w:r w:rsidRPr="00A56A6A">
                    <w:rPr>
                      <w:rFonts w:asciiTheme="minorHAnsi" w:hAnsiTheme="minorHAnsi"/>
                    </w:rPr>
                    <w:t>C</w:t>
                  </w:r>
                  <w:r w:rsidR="002D05C5" w:rsidRPr="00A56A6A">
                    <w:rPr>
                      <w:rFonts w:asciiTheme="minorHAnsi" w:hAnsiTheme="minorHAnsi"/>
                    </w:rPr>
                    <w:t xml:space="preserve">heck </w:t>
                  </w:r>
                  <w:r w:rsidR="000723D3" w:rsidRPr="00A56A6A">
                    <w:rPr>
                      <w:rFonts w:asciiTheme="minorHAnsi" w:hAnsiTheme="minorHAnsi"/>
                    </w:rPr>
                    <w:t xml:space="preserve">at power plants operated by </w:t>
                  </w:r>
                  <w:proofErr w:type="spellStart"/>
                  <w:r w:rsidR="002D05C5" w:rsidRPr="00A56A6A">
                    <w:rPr>
                      <w:rFonts w:asciiTheme="minorHAnsi" w:hAnsiTheme="minorHAnsi" w:cs="Tahoma"/>
                    </w:rPr>
                    <w:t>Grupo</w:t>
                  </w:r>
                  <w:proofErr w:type="spellEnd"/>
                  <w:r w:rsidR="002D05C5" w:rsidRPr="00A56A6A">
                    <w:rPr>
                      <w:rFonts w:asciiTheme="minorHAnsi" w:hAnsiTheme="minorHAnsi" w:cs="Tahoma"/>
                    </w:rPr>
                    <w:t xml:space="preserve"> F.I.S.I.</w:t>
                  </w:r>
                  <w:r w:rsidR="000723D3" w:rsidRPr="00A56A6A">
                    <w:rPr>
                      <w:rFonts w:asciiTheme="minorHAnsi" w:hAnsiTheme="minorHAnsi" w:cs="Tahoma"/>
                    </w:rPr>
                    <w:t xml:space="preserve"> (private operator)</w:t>
                  </w:r>
                </w:p>
              </w:tc>
            </w:tr>
            <w:tr w:rsidR="004C757A" w:rsidRPr="00A56A6A" w:rsidTr="00344CE0">
              <w:tc>
                <w:tcPr>
                  <w:tcW w:w="3256" w:type="dxa"/>
                </w:tcPr>
                <w:p w:rsidR="004C757A" w:rsidRPr="00A56A6A" w:rsidRDefault="004C757A" w:rsidP="00B971E4">
                  <w:pPr>
                    <w:rPr>
                      <w:rFonts w:asciiTheme="minorHAnsi" w:hAnsiTheme="minorHAnsi"/>
                    </w:rPr>
                  </w:pPr>
                  <w:r w:rsidRPr="00A56A6A">
                    <w:rPr>
                      <w:rFonts w:asciiTheme="minorHAnsi" w:hAnsiTheme="minorHAnsi"/>
                    </w:rPr>
                    <w:t>Power generation, fuel type and fuel consumption data of every power plant for different vintage years</w:t>
                  </w:r>
                </w:p>
              </w:tc>
              <w:tc>
                <w:tcPr>
                  <w:tcW w:w="1701" w:type="dxa"/>
                </w:tcPr>
                <w:p w:rsidR="004C757A" w:rsidRPr="00A56A6A" w:rsidRDefault="002D05C5" w:rsidP="00967BFA">
                  <w:pPr>
                    <w:rPr>
                      <w:rFonts w:asciiTheme="minorHAnsi" w:hAnsiTheme="minorHAnsi"/>
                    </w:rPr>
                  </w:pPr>
                  <w:r w:rsidRPr="00A56A6A">
                    <w:rPr>
                      <w:rFonts w:asciiTheme="minorHAnsi" w:hAnsiTheme="minorHAnsi"/>
                    </w:rPr>
                    <w:t>EMAE</w:t>
                  </w:r>
                </w:p>
              </w:tc>
              <w:tc>
                <w:tcPr>
                  <w:tcW w:w="4388" w:type="dxa"/>
                </w:tcPr>
                <w:p w:rsidR="00344CE0" w:rsidRPr="00A56A6A" w:rsidRDefault="00344CE0" w:rsidP="00344CE0">
                  <w:pPr>
                    <w:pStyle w:val="ListParagraph"/>
                    <w:numPr>
                      <w:ilvl w:val="0"/>
                      <w:numId w:val="2"/>
                    </w:numPr>
                    <w:ind w:left="227" w:hanging="227"/>
                    <w:rPr>
                      <w:rFonts w:asciiTheme="minorHAnsi" w:hAnsiTheme="minorHAnsi"/>
                    </w:rPr>
                  </w:pPr>
                  <w:r w:rsidRPr="00A56A6A">
                    <w:rPr>
                      <w:rFonts w:asciiTheme="minorHAnsi" w:hAnsiTheme="minorHAnsi"/>
                    </w:rPr>
                    <w:t>Check at power plants operated by EMAE;</w:t>
                  </w:r>
                </w:p>
                <w:p w:rsidR="00107429" w:rsidRPr="00A56A6A" w:rsidRDefault="00344CE0" w:rsidP="00344CE0">
                  <w:pPr>
                    <w:pStyle w:val="ListParagraph"/>
                    <w:numPr>
                      <w:ilvl w:val="0"/>
                      <w:numId w:val="2"/>
                    </w:numPr>
                    <w:ind w:left="227" w:hanging="227"/>
                    <w:rPr>
                      <w:rFonts w:asciiTheme="minorHAnsi" w:hAnsiTheme="minorHAnsi"/>
                    </w:rPr>
                  </w:pPr>
                  <w:r w:rsidRPr="00A56A6A">
                    <w:rPr>
                      <w:rFonts w:asciiTheme="minorHAnsi" w:hAnsiTheme="minorHAnsi"/>
                    </w:rPr>
                    <w:t xml:space="preserve">Check at power plants operated by </w:t>
                  </w:r>
                  <w:proofErr w:type="spellStart"/>
                  <w:r w:rsidRPr="00A56A6A">
                    <w:rPr>
                      <w:rFonts w:asciiTheme="minorHAnsi" w:hAnsiTheme="minorHAnsi" w:cs="Tahoma"/>
                    </w:rPr>
                    <w:t>Grupo</w:t>
                  </w:r>
                  <w:proofErr w:type="spellEnd"/>
                  <w:r w:rsidRPr="00A56A6A">
                    <w:rPr>
                      <w:rFonts w:asciiTheme="minorHAnsi" w:hAnsiTheme="minorHAnsi" w:cs="Tahoma"/>
                    </w:rPr>
                    <w:t xml:space="preserve"> F.I.S.I. (private operator)</w:t>
                  </w:r>
                </w:p>
              </w:tc>
            </w:tr>
            <w:tr w:rsidR="004C757A" w:rsidRPr="00A56A6A" w:rsidTr="00344CE0">
              <w:tc>
                <w:tcPr>
                  <w:tcW w:w="3256" w:type="dxa"/>
                </w:tcPr>
                <w:p w:rsidR="004C757A" w:rsidRPr="00A56A6A" w:rsidRDefault="004C757A" w:rsidP="004C757A">
                  <w:pPr>
                    <w:rPr>
                      <w:rFonts w:asciiTheme="minorHAnsi" w:hAnsiTheme="minorHAnsi"/>
                    </w:rPr>
                  </w:pPr>
                  <w:r w:rsidRPr="00A56A6A">
                    <w:rPr>
                      <w:rFonts w:asciiTheme="minorHAnsi" w:hAnsiTheme="minorHAnsi"/>
                    </w:rPr>
                    <w:t>Fuel specifications such as NCV and EF</w:t>
                  </w:r>
                </w:p>
              </w:tc>
              <w:tc>
                <w:tcPr>
                  <w:tcW w:w="1701" w:type="dxa"/>
                </w:tcPr>
                <w:p w:rsidR="004C757A" w:rsidRPr="00A56A6A" w:rsidRDefault="004C757A" w:rsidP="00B971E4">
                  <w:pPr>
                    <w:rPr>
                      <w:rFonts w:asciiTheme="minorHAnsi" w:hAnsiTheme="minorHAnsi"/>
                    </w:rPr>
                  </w:pPr>
                  <w:r w:rsidRPr="00A56A6A">
                    <w:rPr>
                      <w:rFonts w:asciiTheme="minorHAnsi" w:hAnsiTheme="minorHAnsi"/>
                    </w:rPr>
                    <w:t>IPCC 2006</w:t>
                  </w:r>
                </w:p>
              </w:tc>
              <w:tc>
                <w:tcPr>
                  <w:tcW w:w="4388" w:type="dxa"/>
                </w:tcPr>
                <w:p w:rsidR="004C757A" w:rsidRPr="00A56A6A" w:rsidRDefault="00176F2E" w:rsidP="00B971E4">
                  <w:pPr>
                    <w:rPr>
                      <w:rFonts w:asciiTheme="minorHAnsi" w:hAnsiTheme="minorHAnsi"/>
                    </w:rPr>
                  </w:pPr>
                  <w:r w:rsidRPr="00A56A6A">
                    <w:rPr>
                      <w:rFonts w:asciiTheme="minorHAnsi" w:hAnsiTheme="minorHAnsi"/>
                    </w:rPr>
                    <w:t>Not relevant</w:t>
                  </w:r>
                </w:p>
              </w:tc>
            </w:tr>
          </w:tbl>
          <w:p w:rsidR="00B971E4" w:rsidRPr="00A56A6A" w:rsidRDefault="00B971E4" w:rsidP="00B971E4">
            <w:pPr>
              <w:rPr>
                <w:rFonts w:asciiTheme="minorHAnsi" w:hAnsiTheme="minorHAnsi"/>
              </w:rPr>
            </w:pPr>
          </w:p>
          <w:p w:rsidR="004C757A" w:rsidRPr="00A56A6A" w:rsidRDefault="004C757A" w:rsidP="001A489E">
            <w:pPr>
              <w:jc w:val="both"/>
              <w:rPr>
                <w:rFonts w:asciiTheme="minorHAnsi" w:hAnsiTheme="minorHAnsi"/>
              </w:rPr>
            </w:pPr>
            <w:r w:rsidRPr="00A56A6A">
              <w:rPr>
                <w:rFonts w:asciiTheme="minorHAnsi" w:hAnsiTheme="minorHAnsi"/>
              </w:rPr>
              <w:t xml:space="preserve">All the above data will be archived and maintained electronically at least for </w:t>
            </w:r>
            <w:r w:rsidR="005671C4" w:rsidRPr="00A56A6A">
              <w:rPr>
                <w:rFonts w:asciiTheme="minorHAnsi" w:hAnsiTheme="minorHAnsi"/>
              </w:rPr>
              <w:t>five</w:t>
            </w:r>
            <w:r w:rsidRPr="00A56A6A">
              <w:rPr>
                <w:rFonts w:asciiTheme="minorHAnsi" w:hAnsiTheme="minorHAnsi"/>
              </w:rPr>
              <w:t xml:space="preserve"> years</w:t>
            </w:r>
            <w:r w:rsidR="00344CE0" w:rsidRPr="00A56A6A">
              <w:rPr>
                <w:rFonts w:asciiTheme="minorHAnsi" w:hAnsiTheme="minorHAnsi"/>
              </w:rPr>
              <w:t xml:space="preserve"> by EMAE</w:t>
            </w:r>
            <w:r w:rsidRPr="00A56A6A">
              <w:rPr>
                <w:rFonts w:asciiTheme="minorHAnsi" w:hAnsiTheme="minorHAnsi"/>
              </w:rPr>
              <w:t xml:space="preserve">. The information </w:t>
            </w:r>
            <w:r w:rsidR="00344CE0" w:rsidRPr="00A56A6A">
              <w:rPr>
                <w:rFonts w:asciiTheme="minorHAnsi" w:hAnsiTheme="minorHAnsi"/>
              </w:rPr>
              <w:t>regarding</w:t>
            </w:r>
            <w:r w:rsidRPr="00A56A6A">
              <w:rPr>
                <w:rFonts w:asciiTheme="minorHAnsi" w:hAnsiTheme="minorHAnsi"/>
              </w:rPr>
              <w:t xml:space="preserve"> plants performance </w:t>
            </w:r>
            <w:r w:rsidR="00344CE0" w:rsidRPr="00A56A6A">
              <w:rPr>
                <w:rFonts w:asciiTheme="minorHAnsi" w:hAnsiTheme="minorHAnsi"/>
              </w:rPr>
              <w:t xml:space="preserve">(electricity generation, fuel consumption) </w:t>
            </w:r>
            <w:proofErr w:type="gramStart"/>
            <w:r w:rsidRPr="00A56A6A">
              <w:rPr>
                <w:rFonts w:asciiTheme="minorHAnsi" w:hAnsiTheme="minorHAnsi"/>
              </w:rPr>
              <w:t>are</w:t>
            </w:r>
            <w:proofErr w:type="gramEnd"/>
            <w:r w:rsidRPr="00A56A6A">
              <w:rPr>
                <w:rFonts w:asciiTheme="minorHAnsi" w:hAnsiTheme="minorHAnsi"/>
              </w:rPr>
              <w:t xml:space="preserve"> monitored continuously by </w:t>
            </w:r>
            <w:r w:rsidR="00344CE0" w:rsidRPr="00A56A6A">
              <w:rPr>
                <w:rFonts w:asciiTheme="minorHAnsi" w:hAnsiTheme="minorHAnsi"/>
              </w:rPr>
              <w:t xml:space="preserve">EMAE and </w:t>
            </w:r>
            <w:proofErr w:type="spellStart"/>
            <w:r w:rsidR="00344CE0" w:rsidRPr="00A56A6A">
              <w:rPr>
                <w:rFonts w:asciiTheme="minorHAnsi" w:hAnsiTheme="minorHAnsi"/>
              </w:rPr>
              <w:t>Grupo</w:t>
            </w:r>
            <w:proofErr w:type="spellEnd"/>
            <w:r w:rsidR="00344CE0" w:rsidRPr="00A56A6A">
              <w:rPr>
                <w:rFonts w:asciiTheme="minorHAnsi" w:hAnsiTheme="minorHAnsi"/>
              </w:rPr>
              <w:t xml:space="preserve"> F.I.S.I. plant operators and </w:t>
            </w:r>
            <w:r w:rsidR="005671C4" w:rsidRPr="00A56A6A">
              <w:rPr>
                <w:rFonts w:asciiTheme="minorHAnsi" w:hAnsiTheme="minorHAnsi"/>
              </w:rPr>
              <w:t xml:space="preserve">periodically transmitted to </w:t>
            </w:r>
            <w:r w:rsidR="00E438BA" w:rsidRPr="00A56A6A">
              <w:rPr>
                <w:rFonts w:asciiTheme="minorHAnsi" w:hAnsiTheme="minorHAnsi"/>
              </w:rPr>
              <w:t xml:space="preserve">EMAE </w:t>
            </w:r>
            <w:proofErr w:type="spellStart"/>
            <w:r w:rsidR="00E438BA" w:rsidRPr="00A56A6A">
              <w:rPr>
                <w:rFonts w:asciiTheme="minorHAnsi" w:hAnsiTheme="minorHAnsi"/>
              </w:rPr>
              <w:t>Direçao</w:t>
            </w:r>
            <w:proofErr w:type="spellEnd"/>
            <w:r w:rsidR="00E438BA" w:rsidRPr="00A56A6A">
              <w:rPr>
                <w:rFonts w:asciiTheme="minorHAnsi" w:hAnsiTheme="minorHAnsi"/>
              </w:rPr>
              <w:t xml:space="preserve"> de </w:t>
            </w:r>
            <w:proofErr w:type="spellStart"/>
            <w:r w:rsidR="00E438BA" w:rsidRPr="00A56A6A">
              <w:rPr>
                <w:rFonts w:asciiTheme="minorHAnsi" w:hAnsiTheme="minorHAnsi"/>
              </w:rPr>
              <w:t>Electricidade</w:t>
            </w:r>
            <w:proofErr w:type="spellEnd"/>
            <w:r w:rsidR="00E438BA" w:rsidRPr="00A56A6A">
              <w:rPr>
                <w:rFonts w:asciiTheme="minorHAnsi" w:hAnsiTheme="minorHAnsi"/>
              </w:rPr>
              <w:t xml:space="preserve">. </w:t>
            </w:r>
            <w:r w:rsidR="001A489E" w:rsidRPr="00A56A6A">
              <w:rPr>
                <w:rFonts w:asciiTheme="minorHAnsi" w:hAnsiTheme="minorHAnsi"/>
              </w:rPr>
              <w:t>The data will be archived and maintained in such a way that allow for the reproduction of the calculation of the emission factor of the grid.</w:t>
            </w:r>
          </w:p>
          <w:p w:rsidR="004C757A" w:rsidRPr="00A56A6A" w:rsidRDefault="004C757A" w:rsidP="00B971E4">
            <w:pPr>
              <w:rPr>
                <w:rFonts w:asciiTheme="minorHAnsi" w:hAnsiTheme="minorHAnsi"/>
              </w:rPr>
            </w:pPr>
          </w:p>
          <w:p w:rsidR="004C757A" w:rsidRPr="00A56A6A" w:rsidRDefault="008C02F4" w:rsidP="00B971E4">
            <w:pPr>
              <w:rPr>
                <w:rFonts w:asciiTheme="minorHAnsi" w:hAnsiTheme="minorHAnsi"/>
              </w:rPr>
            </w:pPr>
            <w:r w:rsidRPr="00A56A6A">
              <w:rPr>
                <w:rFonts w:asciiTheme="minorHAnsi" w:hAnsiTheme="minorHAnsi"/>
              </w:rPr>
              <w:t>EMAE is the ultimate authority</w:t>
            </w:r>
            <w:r w:rsidR="00B46698" w:rsidRPr="00A56A6A">
              <w:rPr>
                <w:rFonts w:asciiTheme="minorHAnsi" w:hAnsiTheme="minorHAnsi"/>
              </w:rPr>
              <w:t xml:space="preserve"> in </w:t>
            </w:r>
            <w:r w:rsidRPr="00A56A6A">
              <w:rPr>
                <w:rFonts w:asciiTheme="minorHAnsi" w:hAnsiTheme="minorHAnsi"/>
              </w:rPr>
              <w:t xml:space="preserve">São Tomé and Principe </w:t>
            </w:r>
            <w:r w:rsidR="00B46698" w:rsidRPr="00A56A6A">
              <w:rPr>
                <w:rFonts w:asciiTheme="minorHAnsi" w:hAnsiTheme="minorHAnsi"/>
              </w:rPr>
              <w:t>that keep</w:t>
            </w:r>
            <w:r w:rsidR="004C757A" w:rsidRPr="00A56A6A">
              <w:rPr>
                <w:rFonts w:asciiTheme="minorHAnsi" w:hAnsiTheme="minorHAnsi"/>
              </w:rPr>
              <w:t xml:space="preserve"> track of power generation and distribution in </w:t>
            </w:r>
            <w:r w:rsidRPr="00A56A6A">
              <w:rPr>
                <w:rFonts w:asciiTheme="minorHAnsi" w:hAnsiTheme="minorHAnsi"/>
              </w:rPr>
              <w:t>the country</w:t>
            </w:r>
            <w:r w:rsidR="004C757A" w:rsidRPr="00A56A6A">
              <w:rPr>
                <w:rFonts w:asciiTheme="minorHAnsi" w:hAnsiTheme="minorHAnsi"/>
              </w:rPr>
              <w:t xml:space="preserve"> and keeps </w:t>
            </w:r>
            <w:r w:rsidR="000D6533" w:rsidRPr="00A56A6A">
              <w:rPr>
                <w:rFonts w:asciiTheme="minorHAnsi" w:hAnsiTheme="minorHAnsi"/>
              </w:rPr>
              <w:t xml:space="preserve">accurate </w:t>
            </w:r>
            <w:r w:rsidR="004C757A" w:rsidRPr="00A56A6A">
              <w:rPr>
                <w:rFonts w:asciiTheme="minorHAnsi" w:hAnsiTheme="minorHAnsi"/>
              </w:rPr>
              <w:t xml:space="preserve">data on the </w:t>
            </w:r>
            <w:r w:rsidR="00176F2E" w:rsidRPr="00A56A6A">
              <w:rPr>
                <w:rFonts w:asciiTheme="minorHAnsi" w:hAnsiTheme="minorHAnsi"/>
              </w:rPr>
              <w:t>following</w:t>
            </w:r>
            <w:r w:rsidR="004C757A" w:rsidRPr="00A56A6A">
              <w:rPr>
                <w:rFonts w:asciiTheme="minorHAnsi" w:hAnsiTheme="minorHAnsi"/>
              </w:rPr>
              <w:t xml:space="preserve"> fields:</w:t>
            </w:r>
          </w:p>
          <w:p w:rsidR="004C757A" w:rsidRPr="00A56A6A" w:rsidRDefault="004C757A" w:rsidP="004C757A">
            <w:pPr>
              <w:pStyle w:val="ListParagraph"/>
              <w:numPr>
                <w:ilvl w:val="0"/>
                <w:numId w:val="2"/>
              </w:numPr>
              <w:rPr>
                <w:rFonts w:asciiTheme="minorHAnsi" w:hAnsiTheme="minorHAnsi"/>
              </w:rPr>
            </w:pPr>
            <w:r w:rsidRPr="00A56A6A">
              <w:rPr>
                <w:rFonts w:asciiTheme="minorHAnsi" w:hAnsiTheme="minorHAnsi"/>
              </w:rPr>
              <w:t xml:space="preserve">Information on the </w:t>
            </w:r>
            <w:r w:rsidR="008C02F4" w:rsidRPr="00A56A6A">
              <w:rPr>
                <w:rFonts w:asciiTheme="minorHAnsi" w:hAnsiTheme="minorHAnsi"/>
              </w:rPr>
              <w:t xml:space="preserve">São Tomé and Principe </w:t>
            </w:r>
            <w:r w:rsidRPr="00A56A6A">
              <w:rPr>
                <w:rFonts w:asciiTheme="minorHAnsi" w:hAnsiTheme="minorHAnsi"/>
              </w:rPr>
              <w:t>national grid, its connections;</w:t>
            </w:r>
          </w:p>
          <w:p w:rsidR="004C757A" w:rsidRPr="00A56A6A" w:rsidRDefault="004C757A" w:rsidP="004C757A">
            <w:pPr>
              <w:pStyle w:val="ListParagraph"/>
              <w:numPr>
                <w:ilvl w:val="0"/>
                <w:numId w:val="2"/>
              </w:numPr>
              <w:rPr>
                <w:rFonts w:asciiTheme="minorHAnsi" w:hAnsiTheme="minorHAnsi"/>
              </w:rPr>
            </w:pPr>
            <w:r w:rsidRPr="00A56A6A">
              <w:rPr>
                <w:rFonts w:asciiTheme="minorHAnsi" w:hAnsiTheme="minorHAnsi"/>
              </w:rPr>
              <w:t>Information on each plants’ name, operators, fuel types, installed capacity and history of rehabilitation;</w:t>
            </w:r>
          </w:p>
          <w:p w:rsidR="004C757A" w:rsidRPr="00A56A6A" w:rsidRDefault="004C757A" w:rsidP="004C757A">
            <w:pPr>
              <w:pStyle w:val="ListParagraph"/>
              <w:numPr>
                <w:ilvl w:val="0"/>
                <w:numId w:val="2"/>
              </w:numPr>
              <w:rPr>
                <w:rFonts w:asciiTheme="minorHAnsi" w:hAnsiTheme="minorHAnsi"/>
              </w:rPr>
            </w:pPr>
            <w:r w:rsidRPr="00A56A6A">
              <w:rPr>
                <w:rFonts w:asciiTheme="minorHAnsi" w:hAnsiTheme="minorHAnsi"/>
              </w:rPr>
              <w:t>Information on each plant’s annual net generation and fuel consumption;</w:t>
            </w:r>
          </w:p>
          <w:p w:rsidR="004C757A" w:rsidRPr="00A56A6A" w:rsidRDefault="004C757A" w:rsidP="004C757A">
            <w:pPr>
              <w:rPr>
                <w:rFonts w:asciiTheme="minorHAnsi" w:hAnsiTheme="minorHAnsi"/>
              </w:rPr>
            </w:pPr>
          </w:p>
          <w:p w:rsidR="00B971E4" w:rsidRPr="00A56A6A" w:rsidRDefault="004C757A" w:rsidP="00CE33D7">
            <w:pPr>
              <w:jc w:val="both"/>
              <w:rPr>
                <w:rFonts w:asciiTheme="minorHAnsi" w:hAnsiTheme="minorHAnsi"/>
              </w:rPr>
            </w:pPr>
            <w:r w:rsidRPr="00A56A6A">
              <w:rPr>
                <w:rFonts w:asciiTheme="minorHAnsi" w:hAnsiTheme="minorHAnsi"/>
              </w:rPr>
              <w:t xml:space="preserve">The DNA of </w:t>
            </w:r>
            <w:r w:rsidR="008C02F4" w:rsidRPr="00A56A6A">
              <w:rPr>
                <w:rFonts w:asciiTheme="minorHAnsi" w:hAnsiTheme="minorHAnsi"/>
              </w:rPr>
              <w:t>São Tomé and Principe got</w:t>
            </w:r>
            <w:r w:rsidRPr="00A56A6A">
              <w:rPr>
                <w:rFonts w:asciiTheme="minorHAnsi" w:hAnsiTheme="minorHAnsi"/>
              </w:rPr>
              <w:t xml:space="preserve"> support</w:t>
            </w:r>
            <w:r w:rsidR="00176F2E" w:rsidRPr="00A56A6A">
              <w:rPr>
                <w:rFonts w:asciiTheme="minorHAnsi" w:hAnsiTheme="minorHAnsi"/>
              </w:rPr>
              <w:t xml:space="preserve"> </w:t>
            </w:r>
            <w:r w:rsidR="008C02F4" w:rsidRPr="00A56A6A">
              <w:rPr>
                <w:rFonts w:asciiTheme="minorHAnsi" w:hAnsiTheme="minorHAnsi"/>
              </w:rPr>
              <w:t>from UNEP RISOE</w:t>
            </w:r>
            <w:r w:rsidRPr="00A56A6A">
              <w:rPr>
                <w:rFonts w:asciiTheme="minorHAnsi" w:hAnsiTheme="minorHAnsi"/>
              </w:rPr>
              <w:t xml:space="preserve"> in relations to</w:t>
            </w:r>
            <w:r w:rsidR="00B46698" w:rsidRPr="00A56A6A">
              <w:rPr>
                <w:rFonts w:asciiTheme="minorHAnsi" w:hAnsiTheme="minorHAnsi"/>
              </w:rPr>
              <w:t xml:space="preserve"> data preparation, data collection, data management</w:t>
            </w:r>
            <w:r w:rsidR="008C02F4" w:rsidRPr="00A56A6A">
              <w:rPr>
                <w:rFonts w:asciiTheme="minorHAnsi" w:hAnsiTheme="minorHAnsi"/>
              </w:rPr>
              <w:t xml:space="preserve"> and</w:t>
            </w:r>
            <w:r w:rsidR="00B46698" w:rsidRPr="00A56A6A">
              <w:rPr>
                <w:rFonts w:asciiTheme="minorHAnsi" w:hAnsiTheme="minorHAnsi"/>
              </w:rPr>
              <w:t xml:space="preserve"> GEF</w:t>
            </w:r>
            <w:r w:rsidRPr="00A56A6A">
              <w:rPr>
                <w:rFonts w:asciiTheme="minorHAnsi" w:hAnsiTheme="minorHAnsi"/>
              </w:rPr>
              <w:t xml:space="preserve"> calculation. </w:t>
            </w:r>
            <w:r w:rsidR="008C02F4" w:rsidRPr="00A56A6A">
              <w:rPr>
                <w:rFonts w:asciiTheme="minorHAnsi" w:hAnsiTheme="minorHAnsi"/>
              </w:rPr>
              <w:t>D</w:t>
            </w:r>
            <w:r w:rsidRPr="00A56A6A">
              <w:rPr>
                <w:rFonts w:asciiTheme="minorHAnsi" w:hAnsiTheme="minorHAnsi"/>
              </w:rPr>
              <w:t>ata templates were presented to the power sector through which the required data for the G</w:t>
            </w:r>
            <w:r w:rsidR="00176F2E" w:rsidRPr="00A56A6A">
              <w:rPr>
                <w:rFonts w:asciiTheme="minorHAnsi" w:hAnsiTheme="minorHAnsi"/>
              </w:rPr>
              <w:t xml:space="preserve">EF </w:t>
            </w:r>
            <w:r w:rsidR="007841FE" w:rsidRPr="00A56A6A">
              <w:rPr>
                <w:rFonts w:asciiTheme="minorHAnsi" w:hAnsiTheme="minorHAnsi"/>
              </w:rPr>
              <w:t xml:space="preserve">calculation and </w:t>
            </w:r>
            <w:r w:rsidR="00176F2E" w:rsidRPr="00A56A6A">
              <w:rPr>
                <w:rFonts w:asciiTheme="minorHAnsi" w:hAnsiTheme="minorHAnsi"/>
              </w:rPr>
              <w:t xml:space="preserve">renewal </w:t>
            </w:r>
            <w:r w:rsidRPr="00A56A6A">
              <w:rPr>
                <w:rFonts w:asciiTheme="minorHAnsi" w:hAnsiTheme="minorHAnsi"/>
              </w:rPr>
              <w:t xml:space="preserve">may be maintained and submitted to DNA </w:t>
            </w:r>
            <w:r w:rsidR="00176F2E" w:rsidRPr="00A56A6A">
              <w:rPr>
                <w:rFonts w:asciiTheme="minorHAnsi" w:hAnsiTheme="minorHAnsi"/>
              </w:rPr>
              <w:t xml:space="preserve">to facilitate further transparency </w:t>
            </w:r>
            <w:r w:rsidRPr="00A56A6A">
              <w:rPr>
                <w:rFonts w:asciiTheme="minorHAnsi" w:hAnsiTheme="minorHAnsi"/>
              </w:rPr>
              <w:t xml:space="preserve">and quality </w:t>
            </w:r>
            <w:r w:rsidR="00176F2E" w:rsidRPr="00A56A6A">
              <w:rPr>
                <w:rFonts w:asciiTheme="minorHAnsi" w:hAnsiTheme="minorHAnsi"/>
              </w:rPr>
              <w:t>control</w:t>
            </w:r>
            <w:r w:rsidRPr="00A56A6A">
              <w:rPr>
                <w:rFonts w:asciiTheme="minorHAnsi" w:hAnsiTheme="minorHAnsi"/>
              </w:rPr>
              <w:t>.</w:t>
            </w:r>
            <w:r w:rsidR="00CE33D7" w:rsidRPr="00A56A6A">
              <w:rPr>
                <w:rFonts w:asciiTheme="minorHAnsi" w:hAnsiTheme="minorHAnsi"/>
              </w:rPr>
              <w:t xml:space="preserve"> UNEP RISOE has also verified the data collection process of the EMAE through interviews and review of records.</w:t>
            </w:r>
          </w:p>
          <w:p w:rsidR="007841FE" w:rsidRPr="00A56A6A" w:rsidRDefault="007841FE" w:rsidP="00B46698">
            <w:pPr>
              <w:rPr>
                <w:rFonts w:asciiTheme="minorHAnsi" w:hAnsiTheme="minorHAnsi"/>
              </w:rPr>
            </w:pPr>
          </w:p>
          <w:p w:rsidR="000D6533" w:rsidRPr="00A56A6A" w:rsidRDefault="000D6533" w:rsidP="000D6533">
            <w:pPr>
              <w:rPr>
                <w:rFonts w:asciiTheme="minorHAnsi" w:hAnsiTheme="minorHAnsi"/>
              </w:rPr>
            </w:pPr>
            <w:r w:rsidRPr="00A56A6A">
              <w:rPr>
                <w:rFonts w:asciiTheme="minorHAnsi" w:hAnsiTheme="minorHAnsi"/>
              </w:rPr>
              <w:lastRenderedPageBreak/>
              <w:t>The generation and fuel consumption statistics preparation of EMAE follows the sequence below:</w:t>
            </w:r>
          </w:p>
          <w:p w:rsidR="000D6533" w:rsidRPr="00A56A6A" w:rsidRDefault="000D6533" w:rsidP="000D6533">
            <w:pPr>
              <w:pStyle w:val="ListParagraph"/>
              <w:numPr>
                <w:ilvl w:val="0"/>
                <w:numId w:val="2"/>
              </w:numPr>
              <w:rPr>
                <w:rFonts w:asciiTheme="minorHAnsi" w:hAnsiTheme="minorHAnsi"/>
              </w:rPr>
            </w:pPr>
            <w:r w:rsidRPr="00A56A6A">
              <w:rPr>
                <w:rFonts w:asciiTheme="minorHAnsi" w:hAnsiTheme="minorHAnsi"/>
              </w:rPr>
              <w:t xml:space="preserve">Generation and fuel consumption data of each unit are collected manually by plant operators, using log sheets. </w:t>
            </w:r>
          </w:p>
          <w:p w:rsidR="000D6533" w:rsidRPr="00A56A6A" w:rsidRDefault="000D6533" w:rsidP="000D6533">
            <w:pPr>
              <w:pStyle w:val="ListParagraph"/>
              <w:numPr>
                <w:ilvl w:val="0"/>
                <w:numId w:val="2"/>
              </w:numPr>
              <w:rPr>
                <w:rFonts w:asciiTheme="minorHAnsi" w:hAnsiTheme="minorHAnsi"/>
              </w:rPr>
            </w:pPr>
            <w:r w:rsidRPr="00A56A6A">
              <w:rPr>
                <w:rFonts w:asciiTheme="minorHAnsi" w:hAnsiTheme="minorHAnsi"/>
              </w:rPr>
              <w:t xml:space="preserve">This information is then transferred to excel files to produce station reports. </w:t>
            </w:r>
          </w:p>
          <w:p w:rsidR="000D6533" w:rsidRPr="00A56A6A" w:rsidRDefault="000D6533" w:rsidP="000D6533">
            <w:pPr>
              <w:pStyle w:val="ListParagraph"/>
              <w:numPr>
                <w:ilvl w:val="0"/>
                <w:numId w:val="2"/>
              </w:numPr>
              <w:rPr>
                <w:rFonts w:asciiTheme="minorHAnsi" w:hAnsiTheme="minorHAnsi"/>
              </w:rPr>
            </w:pPr>
            <w:r w:rsidRPr="00A56A6A">
              <w:rPr>
                <w:rFonts w:asciiTheme="minorHAnsi" w:hAnsiTheme="minorHAnsi"/>
              </w:rPr>
              <w:t xml:space="preserve">Each plant report is checked by the Section Head responsible for the plant. The section head will prepare a report using excel, for the plant(s) that s/he is responsible for, and send the report to the Distribution Engineer. </w:t>
            </w:r>
          </w:p>
          <w:p w:rsidR="000D6533" w:rsidRPr="00A56A6A" w:rsidRDefault="000D6533" w:rsidP="000D6533">
            <w:pPr>
              <w:pStyle w:val="ListParagraph"/>
              <w:numPr>
                <w:ilvl w:val="0"/>
                <w:numId w:val="2"/>
              </w:numPr>
              <w:rPr>
                <w:rFonts w:asciiTheme="minorHAnsi" w:hAnsiTheme="minorHAnsi"/>
              </w:rPr>
            </w:pPr>
            <w:r w:rsidRPr="00A56A6A">
              <w:rPr>
                <w:rFonts w:asciiTheme="minorHAnsi" w:hAnsiTheme="minorHAnsi"/>
              </w:rPr>
              <w:t xml:space="preserve">The Distribution Engineer reviews the reports from the Section Heads and checks for anomalies. The Distribution Engineer also receives sales figures from EMAE. The Distribution Engineer then compiles one report of all generation and fuel consumption statistics and sends to the Senior Planning Engineer for review. </w:t>
            </w:r>
          </w:p>
          <w:p w:rsidR="000D6533" w:rsidRPr="00A56A6A" w:rsidRDefault="000D6533" w:rsidP="000D6533">
            <w:pPr>
              <w:pStyle w:val="ListParagraph"/>
              <w:numPr>
                <w:ilvl w:val="0"/>
                <w:numId w:val="2"/>
              </w:numPr>
              <w:rPr>
                <w:rFonts w:asciiTheme="minorHAnsi" w:hAnsiTheme="minorHAnsi"/>
              </w:rPr>
            </w:pPr>
            <w:r w:rsidRPr="00A56A6A">
              <w:rPr>
                <w:rFonts w:asciiTheme="minorHAnsi" w:hAnsiTheme="minorHAnsi"/>
              </w:rPr>
              <w:t>Once this review is completed, the generation and fuel consumption statistics are published on a monthly basis using an excel file.</w:t>
            </w:r>
          </w:p>
          <w:p w:rsidR="000D6533" w:rsidRPr="00A56A6A" w:rsidRDefault="000D6533" w:rsidP="00B46698">
            <w:pPr>
              <w:rPr>
                <w:rFonts w:asciiTheme="minorHAnsi" w:hAnsiTheme="minorHAnsi"/>
              </w:rPr>
            </w:pPr>
          </w:p>
          <w:p w:rsidR="000D6533" w:rsidRPr="00A56A6A" w:rsidRDefault="000D6533" w:rsidP="00B46698">
            <w:pPr>
              <w:rPr>
                <w:rFonts w:asciiTheme="minorHAnsi" w:hAnsiTheme="minorHAnsi"/>
              </w:rPr>
            </w:pPr>
            <w:r w:rsidRPr="00A56A6A">
              <w:rPr>
                <w:rFonts w:asciiTheme="minorHAnsi" w:hAnsiTheme="minorHAnsi"/>
              </w:rPr>
              <w:t xml:space="preserve">EMAE publishes annual report every year. The last available report covers 2014 business year. </w:t>
            </w:r>
          </w:p>
        </w:tc>
      </w:tr>
      <w:tr w:rsidR="009E30CF" w:rsidRPr="00A56A6A" w:rsidTr="00967BFA">
        <w:tc>
          <w:tcPr>
            <w:tcW w:w="9576" w:type="dxa"/>
            <w:gridSpan w:val="2"/>
            <w:shd w:val="clear" w:color="auto" w:fill="D9D9D9" w:themeFill="background1" w:themeFillShade="D9"/>
          </w:tcPr>
          <w:p w:rsidR="009E30CF" w:rsidRPr="00A56A6A" w:rsidRDefault="009E30CF" w:rsidP="009E30CF">
            <w:pPr>
              <w:rPr>
                <w:rFonts w:asciiTheme="minorHAnsi" w:hAnsiTheme="minorHAnsi"/>
                <w:b/>
              </w:rPr>
            </w:pPr>
            <w:r w:rsidRPr="00A56A6A">
              <w:rPr>
                <w:rFonts w:asciiTheme="minorHAnsi" w:hAnsiTheme="minorHAnsi"/>
                <w:b/>
              </w:rPr>
              <w:lastRenderedPageBreak/>
              <w:t>Please specify how the credibility of the data sources was checked.</w:t>
            </w:r>
          </w:p>
        </w:tc>
      </w:tr>
      <w:tr w:rsidR="009E30CF" w:rsidRPr="00A56A6A" w:rsidTr="009567C3">
        <w:tc>
          <w:tcPr>
            <w:tcW w:w="9576" w:type="dxa"/>
            <w:gridSpan w:val="2"/>
          </w:tcPr>
          <w:p w:rsidR="00176F2E" w:rsidRPr="00A56A6A" w:rsidRDefault="000D62CC" w:rsidP="000D62CC">
            <w:pPr>
              <w:rPr>
                <w:rFonts w:asciiTheme="minorHAnsi" w:hAnsiTheme="minorHAnsi"/>
              </w:rPr>
            </w:pPr>
            <w:r w:rsidRPr="00A56A6A">
              <w:rPr>
                <w:rFonts w:asciiTheme="minorHAnsi" w:hAnsiTheme="minorHAnsi"/>
              </w:rPr>
              <w:t xml:space="preserve">The data supplied are from </w:t>
            </w:r>
            <w:r w:rsidR="00C362F6" w:rsidRPr="00A56A6A">
              <w:rPr>
                <w:rFonts w:asciiTheme="minorHAnsi" w:hAnsiTheme="minorHAnsi"/>
              </w:rPr>
              <w:t>EMAE the only and most</w:t>
            </w:r>
            <w:r w:rsidRPr="00A56A6A">
              <w:rPr>
                <w:rFonts w:asciiTheme="minorHAnsi" w:hAnsiTheme="minorHAnsi"/>
              </w:rPr>
              <w:t xml:space="preserve"> credible</w:t>
            </w:r>
            <w:r w:rsidR="007841FE" w:rsidRPr="00A56A6A">
              <w:rPr>
                <w:rFonts w:asciiTheme="minorHAnsi" w:hAnsiTheme="minorHAnsi"/>
              </w:rPr>
              <w:t xml:space="preserve"> and reputable</w:t>
            </w:r>
            <w:r w:rsidRPr="00A56A6A">
              <w:rPr>
                <w:rFonts w:asciiTheme="minorHAnsi" w:hAnsiTheme="minorHAnsi"/>
              </w:rPr>
              <w:t xml:space="preserve"> authorit</w:t>
            </w:r>
            <w:r w:rsidR="00C362F6" w:rsidRPr="00A56A6A">
              <w:rPr>
                <w:rFonts w:asciiTheme="minorHAnsi" w:hAnsiTheme="minorHAnsi"/>
              </w:rPr>
              <w:t xml:space="preserve">y </w:t>
            </w:r>
            <w:r w:rsidRPr="00A56A6A">
              <w:rPr>
                <w:rFonts w:asciiTheme="minorHAnsi" w:hAnsiTheme="minorHAnsi"/>
              </w:rPr>
              <w:t xml:space="preserve">in the power sector in </w:t>
            </w:r>
            <w:r w:rsidR="00C362F6" w:rsidRPr="00A56A6A">
              <w:rPr>
                <w:rFonts w:asciiTheme="minorHAnsi" w:hAnsiTheme="minorHAnsi"/>
              </w:rPr>
              <w:t>São Tomé and Principe</w:t>
            </w:r>
            <w:r w:rsidRPr="00A56A6A">
              <w:rPr>
                <w:rFonts w:asciiTheme="minorHAnsi" w:hAnsiTheme="minorHAnsi"/>
              </w:rPr>
              <w:t xml:space="preserve">. </w:t>
            </w:r>
          </w:p>
          <w:p w:rsidR="007841FE" w:rsidRPr="00A56A6A" w:rsidRDefault="007841FE" w:rsidP="000D62CC">
            <w:pPr>
              <w:rPr>
                <w:rFonts w:asciiTheme="minorHAnsi" w:hAnsiTheme="minorHAnsi"/>
              </w:rPr>
            </w:pPr>
          </w:p>
          <w:p w:rsidR="00C362F6" w:rsidRPr="00A56A6A" w:rsidRDefault="00C362F6" w:rsidP="00C362F6">
            <w:pPr>
              <w:rPr>
                <w:rFonts w:asciiTheme="minorHAnsi" w:hAnsiTheme="minorHAnsi"/>
              </w:rPr>
            </w:pPr>
            <w:r w:rsidRPr="00A56A6A">
              <w:rPr>
                <w:rFonts w:asciiTheme="minorHAnsi" w:hAnsiTheme="minorHAnsi"/>
              </w:rPr>
              <w:t>The data used in the calculation were verifiable by third party as they are available at EMAE office. Annual reports containing electricity generation, fuel consumption and sales data are publicly available few months after the end of reporting period. All information presented on EMAE’s annual reports are subject to independent auditing by the government and certified hard copies of the annual reports are maintained with the finance department of EMAE.</w:t>
            </w:r>
          </w:p>
          <w:p w:rsidR="00C362F6" w:rsidRPr="00A56A6A" w:rsidRDefault="00C362F6" w:rsidP="00C362F6">
            <w:pPr>
              <w:rPr>
                <w:rFonts w:asciiTheme="minorHAnsi" w:hAnsiTheme="minorHAnsi"/>
              </w:rPr>
            </w:pPr>
          </w:p>
          <w:p w:rsidR="00C362F6" w:rsidRPr="00A56A6A" w:rsidRDefault="00C362F6" w:rsidP="00C362F6">
            <w:pPr>
              <w:rPr>
                <w:rFonts w:asciiTheme="minorHAnsi" w:hAnsiTheme="minorHAnsi"/>
              </w:rPr>
            </w:pPr>
            <w:r w:rsidRPr="00A56A6A">
              <w:rPr>
                <w:rFonts w:asciiTheme="minorHAnsi" w:hAnsiTheme="minorHAnsi"/>
              </w:rPr>
              <w:t>DNA considers that the data is comprehensive and reliable as it is well documented in the annual reports of EMAE.</w:t>
            </w:r>
          </w:p>
        </w:tc>
      </w:tr>
      <w:tr w:rsidR="009E30CF" w:rsidRPr="00A56A6A" w:rsidTr="009E30CF">
        <w:tc>
          <w:tcPr>
            <w:tcW w:w="9576" w:type="dxa"/>
            <w:gridSpan w:val="2"/>
            <w:shd w:val="clear" w:color="auto" w:fill="D9D9D9" w:themeFill="background1" w:themeFillShade="D9"/>
          </w:tcPr>
          <w:p w:rsidR="009E30CF" w:rsidRPr="00A56A6A" w:rsidRDefault="009E30CF" w:rsidP="009E30CF">
            <w:pPr>
              <w:rPr>
                <w:rFonts w:asciiTheme="minorHAnsi" w:hAnsiTheme="minorHAnsi"/>
                <w:b/>
              </w:rPr>
            </w:pPr>
            <w:r w:rsidRPr="00A56A6A">
              <w:rPr>
                <w:rFonts w:asciiTheme="minorHAnsi" w:hAnsiTheme="minorHAnsi"/>
                <w:b/>
              </w:rPr>
              <w:t>Please specify how the accuracy of the data was checked.</w:t>
            </w:r>
          </w:p>
        </w:tc>
      </w:tr>
      <w:tr w:rsidR="009E30CF" w:rsidRPr="00A56A6A" w:rsidTr="009E30CF">
        <w:tc>
          <w:tcPr>
            <w:tcW w:w="9576" w:type="dxa"/>
            <w:gridSpan w:val="2"/>
          </w:tcPr>
          <w:p w:rsidR="00A066DC" w:rsidRPr="00A56A6A" w:rsidRDefault="00C362F6" w:rsidP="00C362F6">
            <w:pPr>
              <w:rPr>
                <w:rFonts w:asciiTheme="minorHAnsi" w:hAnsiTheme="minorHAnsi"/>
              </w:rPr>
            </w:pPr>
            <w:r w:rsidRPr="00A56A6A">
              <w:rPr>
                <w:rFonts w:asciiTheme="minorHAnsi" w:hAnsiTheme="minorHAnsi"/>
              </w:rPr>
              <w:t>EMAE is a</w:t>
            </w:r>
            <w:r w:rsidR="000D62CC" w:rsidRPr="00A56A6A">
              <w:rPr>
                <w:rFonts w:asciiTheme="minorHAnsi" w:hAnsiTheme="minorHAnsi"/>
              </w:rPr>
              <w:t xml:space="preserve"> governmental </w:t>
            </w:r>
            <w:r w:rsidRPr="00A56A6A">
              <w:rPr>
                <w:rFonts w:asciiTheme="minorHAnsi" w:hAnsiTheme="minorHAnsi"/>
              </w:rPr>
              <w:t>organization</w:t>
            </w:r>
            <w:r w:rsidR="000D62CC" w:rsidRPr="00A56A6A">
              <w:rPr>
                <w:rFonts w:asciiTheme="minorHAnsi" w:hAnsiTheme="minorHAnsi"/>
              </w:rPr>
              <w:t xml:space="preserve"> </w:t>
            </w:r>
            <w:r w:rsidR="00A31442" w:rsidRPr="00A56A6A">
              <w:rPr>
                <w:rFonts w:asciiTheme="minorHAnsi" w:hAnsiTheme="minorHAnsi"/>
              </w:rPr>
              <w:t xml:space="preserve">whose accuracy is a </w:t>
            </w:r>
            <w:r w:rsidR="000D62CC" w:rsidRPr="00A56A6A">
              <w:rPr>
                <w:rFonts w:asciiTheme="minorHAnsi" w:hAnsiTheme="minorHAnsi"/>
              </w:rPr>
              <w:t xml:space="preserve">key </w:t>
            </w:r>
            <w:r w:rsidR="00A31442" w:rsidRPr="00A56A6A">
              <w:rPr>
                <w:rFonts w:asciiTheme="minorHAnsi" w:hAnsiTheme="minorHAnsi"/>
              </w:rPr>
              <w:t>for the</w:t>
            </w:r>
            <w:r w:rsidR="000D62CC" w:rsidRPr="00A56A6A">
              <w:rPr>
                <w:rFonts w:asciiTheme="minorHAnsi" w:hAnsiTheme="minorHAnsi"/>
              </w:rPr>
              <w:t xml:space="preserve"> operation and performance of the </w:t>
            </w:r>
            <w:r w:rsidRPr="00A56A6A">
              <w:rPr>
                <w:rFonts w:asciiTheme="minorHAnsi" w:hAnsiTheme="minorHAnsi"/>
              </w:rPr>
              <w:t xml:space="preserve">São Tomé and Principe </w:t>
            </w:r>
            <w:r w:rsidR="000D62CC" w:rsidRPr="00A56A6A">
              <w:rPr>
                <w:rFonts w:asciiTheme="minorHAnsi" w:hAnsiTheme="minorHAnsi"/>
              </w:rPr>
              <w:t>national grid</w:t>
            </w:r>
            <w:r w:rsidR="007841FE" w:rsidRPr="00A56A6A">
              <w:rPr>
                <w:rFonts w:asciiTheme="minorHAnsi" w:hAnsiTheme="minorHAnsi"/>
              </w:rPr>
              <w:t xml:space="preserve"> for t</w:t>
            </w:r>
            <w:r w:rsidR="005E2BFC" w:rsidRPr="00A56A6A">
              <w:rPr>
                <w:rFonts w:asciiTheme="minorHAnsi" w:hAnsiTheme="minorHAnsi"/>
              </w:rPr>
              <w:t>he</w:t>
            </w:r>
            <w:r w:rsidR="007841FE" w:rsidRPr="00A56A6A">
              <w:rPr>
                <w:rFonts w:asciiTheme="minorHAnsi" w:hAnsiTheme="minorHAnsi"/>
              </w:rPr>
              <w:t xml:space="preserve"> purpose of power dispatch as well as distribution to end users</w:t>
            </w:r>
            <w:r w:rsidR="000D62CC" w:rsidRPr="00A56A6A">
              <w:rPr>
                <w:rFonts w:asciiTheme="minorHAnsi" w:hAnsiTheme="minorHAnsi"/>
              </w:rPr>
              <w:t xml:space="preserve">. </w:t>
            </w:r>
            <w:r w:rsidRPr="00A56A6A">
              <w:rPr>
                <w:rFonts w:asciiTheme="minorHAnsi" w:hAnsiTheme="minorHAnsi"/>
              </w:rPr>
              <w:t>EMAE</w:t>
            </w:r>
            <w:r w:rsidR="007841FE" w:rsidRPr="00A56A6A">
              <w:rPr>
                <w:rFonts w:asciiTheme="minorHAnsi" w:hAnsiTheme="minorHAnsi"/>
              </w:rPr>
              <w:t xml:space="preserve"> follow</w:t>
            </w:r>
            <w:r w:rsidRPr="00A56A6A">
              <w:rPr>
                <w:rFonts w:asciiTheme="minorHAnsi" w:hAnsiTheme="minorHAnsi"/>
              </w:rPr>
              <w:t>s</w:t>
            </w:r>
            <w:r w:rsidR="007841FE" w:rsidRPr="00A56A6A">
              <w:rPr>
                <w:rFonts w:asciiTheme="minorHAnsi" w:hAnsiTheme="minorHAnsi"/>
              </w:rPr>
              <w:t xml:space="preserve"> national standards that assure stable performance of grid connected power plants as well as the grid in a synchronized manner. </w:t>
            </w:r>
          </w:p>
          <w:p w:rsidR="005A0655" w:rsidRPr="00A56A6A" w:rsidRDefault="000D62CC" w:rsidP="00C362F6">
            <w:pPr>
              <w:rPr>
                <w:rFonts w:asciiTheme="minorHAnsi" w:hAnsiTheme="minorHAnsi"/>
              </w:rPr>
            </w:pPr>
            <w:r w:rsidRPr="00A56A6A">
              <w:rPr>
                <w:rFonts w:asciiTheme="minorHAnsi" w:hAnsiTheme="minorHAnsi"/>
              </w:rPr>
              <w:t xml:space="preserve">The accuracy of the data received from </w:t>
            </w:r>
            <w:r w:rsidR="00C362F6" w:rsidRPr="00A56A6A">
              <w:rPr>
                <w:rFonts w:asciiTheme="minorHAnsi" w:hAnsiTheme="minorHAnsi"/>
              </w:rPr>
              <w:t>EMAE</w:t>
            </w:r>
            <w:r w:rsidRPr="00A56A6A">
              <w:rPr>
                <w:rFonts w:asciiTheme="minorHAnsi" w:hAnsiTheme="minorHAnsi"/>
              </w:rPr>
              <w:t xml:space="preserve"> was cross checked against the detail plants’ data</w:t>
            </w:r>
            <w:r w:rsidR="00A066DC" w:rsidRPr="00A56A6A">
              <w:rPr>
                <w:rFonts w:asciiTheme="minorHAnsi" w:hAnsiTheme="minorHAnsi"/>
              </w:rPr>
              <w:t xml:space="preserve"> and no significant differences were observed</w:t>
            </w:r>
            <w:r w:rsidRPr="00A56A6A">
              <w:rPr>
                <w:rFonts w:asciiTheme="minorHAnsi" w:hAnsiTheme="minorHAnsi"/>
              </w:rPr>
              <w:t xml:space="preserve">. </w:t>
            </w:r>
          </w:p>
          <w:p w:rsidR="00A066DC" w:rsidRPr="00A56A6A" w:rsidRDefault="00A066DC" w:rsidP="00A066DC">
            <w:pPr>
              <w:rPr>
                <w:rFonts w:asciiTheme="minorHAnsi" w:hAnsiTheme="minorHAnsi"/>
              </w:rPr>
            </w:pPr>
            <w:r w:rsidRPr="00A56A6A">
              <w:rPr>
                <w:rFonts w:asciiTheme="minorHAnsi" w:hAnsiTheme="minorHAnsi"/>
              </w:rPr>
              <w:t>DNA assures that the set of data available is complete and sufficient for the calculation of the grid emission factor.</w:t>
            </w:r>
          </w:p>
        </w:tc>
      </w:tr>
      <w:tr w:rsidR="009E30CF" w:rsidRPr="00A56A6A" w:rsidTr="009E30CF">
        <w:tc>
          <w:tcPr>
            <w:tcW w:w="9576" w:type="dxa"/>
            <w:gridSpan w:val="2"/>
            <w:shd w:val="clear" w:color="auto" w:fill="D9D9D9" w:themeFill="background1" w:themeFillShade="D9"/>
          </w:tcPr>
          <w:p w:rsidR="009E30CF" w:rsidRPr="00A56A6A" w:rsidRDefault="009E30CF" w:rsidP="00166D9A">
            <w:pPr>
              <w:rPr>
                <w:rFonts w:asciiTheme="minorHAnsi" w:hAnsiTheme="minorHAnsi"/>
                <w:b/>
              </w:rPr>
            </w:pPr>
            <w:r w:rsidRPr="00A56A6A">
              <w:rPr>
                <w:rFonts w:asciiTheme="minorHAnsi" w:hAnsiTheme="minorHAnsi"/>
                <w:b/>
              </w:rPr>
              <w:t xml:space="preserve">Please specify how the consistency was achieved </w:t>
            </w:r>
            <w:r w:rsidR="00166D9A" w:rsidRPr="00A56A6A">
              <w:rPr>
                <w:rFonts w:asciiTheme="minorHAnsi" w:hAnsiTheme="minorHAnsi"/>
                <w:b/>
              </w:rPr>
              <w:t>in particular where multiple secondary data sources were used</w:t>
            </w:r>
          </w:p>
        </w:tc>
      </w:tr>
      <w:tr w:rsidR="009E30CF" w:rsidRPr="00A56A6A" w:rsidTr="009E30CF">
        <w:tc>
          <w:tcPr>
            <w:tcW w:w="9576" w:type="dxa"/>
            <w:gridSpan w:val="2"/>
          </w:tcPr>
          <w:p w:rsidR="00A31442" w:rsidRPr="00A56A6A" w:rsidRDefault="00A31442" w:rsidP="0051593F">
            <w:pPr>
              <w:rPr>
                <w:rFonts w:asciiTheme="minorHAnsi" w:hAnsiTheme="minorHAnsi"/>
              </w:rPr>
            </w:pPr>
            <w:r w:rsidRPr="00A56A6A">
              <w:rPr>
                <w:rFonts w:asciiTheme="minorHAnsi" w:hAnsiTheme="minorHAnsi"/>
              </w:rPr>
              <w:t xml:space="preserve">The consistency of the data has been checked </w:t>
            </w:r>
            <w:r w:rsidR="0051593F" w:rsidRPr="00A56A6A">
              <w:rPr>
                <w:rFonts w:asciiTheme="minorHAnsi" w:hAnsiTheme="minorHAnsi"/>
              </w:rPr>
              <w:t xml:space="preserve">against generation statistics from </w:t>
            </w:r>
            <w:r w:rsidRPr="00A56A6A">
              <w:rPr>
                <w:rFonts w:asciiTheme="minorHAnsi" w:hAnsiTheme="minorHAnsi"/>
              </w:rPr>
              <w:t xml:space="preserve">for </w:t>
            </w:r>
            <w:r w:rsidR="0051593F" w:rsidRPr="00A56A6A">
              <w:rPr>
                <w:rFonts w:asciiTheme="minorHAnsi" w:hAnsiTheme="minorHAnsi"/>
              </w:rPr>
              <w:t>previous years</w:t>
            </w:r>
            <w:r w:rsidRPr="00A56A6A">
              <w:rPr>
                <w:rFonts w:asciiTheme="minorHAnsi" w:hAnsiTheme="minorHAnsi"/>
              </w:rPr>
              <w:t>. The data proved to be completely consistent.</w:t>
            </w:r>
            <w:r w:rsidR="0051593F" w:rsidRPr="00A56A6A">
              <w:rPr>
                <w:rFonts w:asciiTheme="minorHAnsi" w:hAnsiTheme="minorHAnsi"/>
              </w:rPr>
              <w:t xml:space="preserve"> </w:t>
            </w:r>
            <w:r w:rsidRPr="00A56A6A">
              <w:rPr>
                <w:rFonts w:asciiTheme="minorHAnsi" w:hAnsiTheme="minorHAnsi"/>
              </w:rPr>
              <w:t>The correctness of data was checked and the latest avai</w:t>
            </w:r>
            <w:r w:rsidR="0051593F" w:rsidRPr="00A56A6A">
              <w:rPr>
                <w:rFonts w:asciiTheme="minorHAnsi" w:hAnsiTheme="minorHAnsi"/>
              </w:rPr>
              <w:t>lable data vintage was from 2014</w:t>
            </w:r>
            <w:r w:rsidRPr="00A56A6A">
              <w:rPr>
                <w:rFonts w:asciiTheme="minorHAnsi" w:hAnsiTheme="minorHAnsi"/>
              </w:rPr>
              <w:t xml:space="preserve">, thus the </w:t>
            </w:r>
            <w:r w:rsidR="0051593F" w:rsidRPr="00A56A6A">
              <w:rPr>
                <w:rFonts w:asciiTheme="minorHAnsi" w:hAnsiTheme="minorHAnsi"/>
              </w:rPr>
              <w:t xml:space="preserve">São Tomé and Principe </w:t>
            </w:r>
            <w:r w:rsidRPr="00A56A6A">
              <w:rPr>
                <w:rFonts w:asciiTheme="minorHAnsi" w:hAnsiTheme="minorHAnsi"/>
              </w:rPr>
              <w:t xml:space="preserve">GEF </w:t>
            </w:r>
            <w:proofErr w:type="gramStart"/>
            <w:r w:rsidRPr="00A56A6A">
              <w:rPr>
                <w:rFonts w:asciiTheme="minorHAnsi" w:hAnsiTheme="minorHAnsi"/>
              </w:rPr>
              <w:t>has</w:t>
            </w:r>
            <w:proofErr w:type="gramEnd"/>
            <w:r w:rsidRPr="00A56A6A">
              <w:rPr>
                <w:rFonts w:asciiTheme="minorHAnsi" w:hAnsiTheme="minorHAnsi"/>
              </w:rPr>
              <w:t xml:space="preserve"> been calculated b</w:t>
            </w:r>
            <w:r w:rsidR="0051593F" w:rsidRPr="00A56A6A">
              <w:rPr>
                <w:rFonts w:asciiTheme="minorHAnsi" w:hAnsiTheme="minorHAnsi"/>
              </w:rPr>
              <w:t>y using the data from years 2012, 2013 and 2014</w:t>
            </w:r>
            <w:r w:rsidRPr="00A56A6A">
              <w:rPr>
                <w:rFonts w:asciiTheme="minorHAnsi" w:hAnsiTheme="minorHAnsi"/>
              </w:rPr>
              <w:t>.</w:t>
            </w:r>
          </w:p>
        </w:tc>
      </w:tr>
      <w:tr w:rsidR="00166D9A" w:rsidRPr="00A56A6A" w:rsidTr="00B17774">
        <w:tc>
          <w:tcPr>
            <w:tcW w:w="9576" w:type="dxa"/>
            <w:gridSpan w:val="2"/>
            <w:shd w:val="clear" w:color="auto" w:fill="D9D9D9" w:themeFill="background1" w:themeFillShade="D9"/>
          </w:tcPr>
          <w:p w:rsidR="00166D9A" w:rsidRPr="00A56A6A" w:rsidRDefault="00166D9A" w:rsidP="00166D9A">
            <w:pPr>
              <w:rPr>
                <w:rFonts w:asciiTheme="minorHAnsi" w:hAnsiTheme="minorHAnsi"/>
                <w:b/>
              </w:rPr>
            </w:pPr>
            <w:r w:rsidRPr="00A56A6A">
              <w:rPr>
                <w:rFonts w:asciiTheme="minorHAnsi" w:hAnsiTheme="minorHAnsi"/>
                <w:b/>
              </w:rPr>
              <w:t xml:space="preserve">Please specify how the “Standard for data coverage and validity of standardized baselines” was complied </w:t>
            </w:r>
          </w:p>
          <w:p w:rsidR="00166D9A" w:rsidRPr="00A56A6A" w:rsidRDefault="00166D9A" w:rsidP="00166D9A">
            <w:pPr>
              <w:rPr>
                <w:rFonts w:asciiTheme="minorHAnsi" w:hAnsiTheme="minorHAnsi"/>
                <w:b/>
              </w:rPr>
            </w:pPr>
            <w:proofErr w:type="gramStart"/>
            <w:r w:rsidRPr="00A56A6A">
              <w:rPr>
                <w:rFonts w:asciiTheme="minorHAnsi" w:hAnsiTheme="minorHAnsi"/>
                <w:b/>
              </w:rPr>
              <w:t>with</w:t>
            </w:r>
            <w:proofErr w:type="gramEnd"/>
            <w:r w:rsidRPr="00A56A6A">
              <w:rPr>
                <w:rFonts w:asciiTheme="minorHAnsi" w:hAnsiTheme="minorHAnsi"/>
                <w:b/>
              </w:rPr>
              <w:t>.</w:t>
            </w:r>
          </w:p>
        </w:tc>
      </w:tr>
      <w:tr w:rsidR="00166D9A" w:rsidRPr="00A56A6A" w:rsidTr="009E30CF">
        <w:tc>
          <w:tcPr>
            <w:tcW w:w="9576" w:type="dxa"/>
            <w:gridSpan w:val="2"/>
          </w:tcPr>
          <w:p w:rsidR="00166D9A" w:rsidRPr="00A56A6A" w:rsidRDefault="00244698" w:rsidP="00A31442">
            <w:pPr>
              <w:rPr>
                <w:rFonts w:asciiTheme="minorHAnsi" w:hAnsiTheme="minorHAnsi"/>
                <w:iCs/>
              </w:rPr>
            </w:pPr>
            <w:r w:rsidRPr="00A56A6A">
              <w:rPr>
                <w:rFonts w:asciiTheme="minorHAnsi" w:hAnsiTheme="minorHAnsi"/>
                <w:iCs/>
              </w:rPr>
              <w:t xml:space="preserve">The </w:t>
            </w:r>
            <w:r w:rsidR="0051593F" w:rsidRPr="00A56A6A">
              <w:rPr>
                <w:rFonts w:asciiTheme="minorHAnsi" w:hAnsiTheme="minorHAnsi"/>
              </w:rPr>
              <w:t>São Tomé and Principe</w:t>
            </w:r>
            <w:r w:rsidR="0051593F" w:rsidRPr="00A56A6A">
              <w:rPr>
                <w:rFonts w:asciiTheme="minorHAnsi" w:hAnsiTheme="minorHAnsi"/>
                <w:iCs/>
              </w:rPr>
              <w:t xml:space="preserve"> </w:t>
            </w:r>
            <w:r w:rsidRPr="00A56A6A">
              <w:rPr>
                <w:rFonts w:asciiTheme="minorHAnsi" w:hAnsiTheme="minorHAnsi"/>
                <w:iCs/>
              </w:rPr>
              <w:t>GEF calculation has been</w:t>
            </w:r>
            <w:r w:rsidR="0051593F" w:rsidRPr="00A56A6A">
              <w:rPr>
                <w:rFonts w:asciiTheme="minorHAnsi" w:hAnsiTheme="minorHAnsi"/>
                <w:iCs/>
              </w:rPr>
              <w:t xml:space="preserve"> based on 2012-2014</w:t>
            </w:r>
            <w:r w:rsidRPr="00A56A6A">
              <w:rPr>
                <w:rFonts w:asciiTheme="minorHAnsi" w:hAnsiTheme="minorHAnsi"/>
                <w:iCs/>
              </w:rPr>
              <w:t xml:space="preserve"> power generation data, and has used the UNFCCC’s Methodological Tool </w:t>
            </w:r>
            <w:r w:rsidRPr="00A56A6A">
              <w:rPr>
                <w:rFonts w:asciiTheme="minorHAnsi" w:hAnsiTheme="minorHAnsi"/>
                <w:i/>
                <w:iCs/>
              </w:rPr>
              <w:t>“Tool to calculate the emission factor for an electricity system</w:t>
            </w:r>
            <w:r w:rsidR="0051593F" w:rsidRPr="00A56A6A">
              <w:rPr>
                <w:rFonts w:asciiTheme="minorHAnsi" w:hAnsiTheme="minorHAnsi"/>
                <w:iCs/>
              </w:rPr>
              <w:t>” (version 4</w:t>
            </w:r>
            <w:r w:rsidRPr="00A56A6A">
              <w:rPr>
                <w:rFonts w:asciiTheme="minorHAnsi" w:hAnsiTheme="minorHAnsi"/>
                <w:iCs/>
              </w:rPr>
              <w:t>.0.0)</w:t>
            </w:r>
          </w:p>
          <w:p w:rsidR="00C5186E" w:rsidRPr="00A56A6A" w:rsidRDefault="00C5186E" w:rsidP="0051593F">
            <w:pPr>
              <w:rPr>
                <w:rFonts w:asciiTheme="minorHAnsi" w:hAnsiTheme="minorHAnsi"/>
              </w:rPr>
            </w:pPr>
            <w:r w:rsidRPr="00A56A6A">
              <w:rPr>
                <w:rFonts w:asciiTheme="minorHAnsi" w:hAnsiTheme="minorHAnsi"/>
              </w:rPr>
              <w:t>D</w:t>
            </w:r>
            <w:r w:rsidR="00287089" w:rsidRPr="00A56A6A">
              <w:rPr>
                <w:rFonts w:asciiTheme="minorHAnsi" w:hAnsiTheme="minorHAnsi"/>
              </w:rPr>
              <w:t xml:space="preserve">ata </w:t>
            </w:r>
            <w:r w:rsidRPr="00A56A6A">
              <w:rPr>
                <w:rFonts w:asciiTheme="minorHAnsi" w:hAnsiTheme="minorHAnsi"/>
              </w:rPr>
              <w:t xml:space="preserve">used </w:t>
            </w:r>
            <w:r w:rsidR="00287089" w:rsidRPr="00A56A6A">
              <w:rPr>
                <w:rFonts w:asciiTheme="minorHAnsi" w:hAnsiTheme="minorHAnsi"/>
              </w:rPr>
              <w:t xml:space="preserve">are from the latest grid information retrieved from </w:t>
            </w:r>
            <w:r w:rsidR="0051593F" w:rsidRPr="00A56A6A">
              <w:rPr>
                <w:rFonts w:asciiTheme="minorHAnsi" w:hAnsiTheme="minorHAnsi"/>
              </w:rPr>
              <w:t>EMAE 2010, 2011, 2012,</w:t>
            </w:r>
            <w:r w:rsidR="00287089" w:rsidRPr="00A56A6A">
              <w:rPr>
                <w:rFonts w:asciiTheme="minorHAnsi" w:hAnsiTheme="minorHAnsi"/>
              </w:rPr>
              <w:t xml:space="preserve"> 2013</w:t>
            </w:r>
            <w:r w:rsidR="0051593F" w:rsidRPr="00A56A6A">
              <w:rPr>
                <w:rFonts w:asciiTheme="minorHAnsi" w:hAnsiTheme="minorHAnsi"/>
              </w:rPr>
              <w:t xml:space="preserve"> and 2014 annual reports</w:t>
            </w:r>
            <w:r w:rsidR="00287089" w:rsidRPr="00A56A6A">
              <w:rPr>
                <w:rFonts w:asciiTheme="minorHAnsi" w:hAnsiTheme="minorHAnsi"/>
              </w:rPr>
              <w:t>. Thes</w:t>
            </w:r>
            <w:r w:rsidR="0051593F" w:rsidRPr="00A56A6A">
              <w:rPr>
                <w:rFonts w:asciiTheme="minorHAnsi" w:hAnsiTheme="minorHAnsi"/>
              </w:rPr>
              <w:t>e include data vintage from 2012, 2013 and 2014</w:t>
            </w:r>
            <w:r w:rsidR="00287089" w:rsidRPr="00A56A6A">
              <w:rPr>
                <w:rFonts w:asciiTheme="minorHAnsi" w:hAnsiTheme="minorHAnsi"/>
              </w:rPr>
              <w:t xml:space="preserve"> including total and </w:t>
            </w:r>
            <w:r w:rsidR="0051593F" w:rsidRPr="00A56A6A">
              <w:rPr>
                <w:rFonts w:asciiTheme="minorHAnsi" w:hAnsiTheme="minorHAnsi"/>
              </w:rPr>
              <w:t>low-cost-must-run data from 2010 and 2011</w:t>
            </w:r>
            <w:r w:rsidRPr="00A56A6A">
              <w:rPr>
                <w:rFonts w:asciiTheme="minorHAnsi" w:hAnsiTheme="minorHAnsi"/>
              </w:rPr>
              <w:t>.</w:t>
            </w:r>
            <w:r w:rsidR="0051593F" w:rsidRPr="00A56A6A">
              <w:rPr>
                <w:rFonts w:asciiTheme="minorHAnsi" w:hAnsiTheme="minorHAnsi"/>
              </w:rPr>
              <w:t xml:space="preserve"> </w:t>
            </w:r>
            <w:r w:rsidRPr="00A56A6A">
              <w:rPr>
                <w:rFonts w:asciiTheme="minorHAnsi" w:hAnsiTheme="minorHAnsi"/>
              </w:rPr>
              <w:t xml:space="preserve">Coverage period and </w:t>
            </w:r>
            <w:proofErr w:type="spellStart"/>
            <w:r w:rsidRPr="00A56A6A">
              <w:rPr>
                <w:rFonts w:asciiTheme="minorHAnsi" w:hAnsiTheme="minorHAnsi"/>
              </w:rPr>
              <w:t>currentness</w:t>
            </w:r>
            <w:proofErr w:type="spellEnd"/>
            <w:r w:rsidRPr="00A56A6A">
              <w:rPr>
                <w:rFonts w:asciiTheme="minorHAnsi" w:hAnsiTheme="minorHAnsi"/>
              </w:rPr>
              <w:t xml:space="preserve"> of data follow the requirements speci</w:t>
            </w:r>
            <w:r w:rsidR="008A581F" w:rsidRPr="00A56A6A">
              <w:rPr>
                <w:rFonts w:asciiTheme="minorHAnsi" w:hAnsiTheme="minorHAnsi"/>
              </w:rPr>
              <w:t>fied in the methodological tool and the standard.</w:t>
            </w:r>
          </w:p>
        </w:tc>
      </w:tr>
      <w:tr w:rsidR="00B971E4" w:rsidRPr="00A56A6A" w:rsidTr="00967BFA">
        <w:tc>
          <w:tcPr>
            <w:tcW w:w="9576" w:type="dxa"/>
            <w:gridSpan w:val="2"/>
            <w:shd w:val="clear" w:color="auto" w:fill="D9D9D9" w:themeFill="background1" w:themeFillShade="D9"/>
          </w:tcPr>
          <w:p w:rsidR="00B971E4" w:rsidRPr="00A56A6A" w:rsidRDefault="007841FE" w:rsidP="00B971E4">
            <w:pPr>
              <w:rPr>
                <w:rFonts w:asciiTheme="minorHAnsi" w:hAnsiTheme="minorHAnsi"/>
                <w:b/>
              </w:rPr>
            </w:pPr>
            <w:r w:rsidRPr="00A56A6A">
              <w:rPr>
                <w:rFonts w:asciiTheme="minorHAnsi" w:hAnsiTheme="minorHAnsi"/>
                <w:b/>
              </w:rPr>
              <w:t>Please specify how the completeness was achieved.</w:t>
            </w:r>
          </w:p>
        </w:tc>
      </w:tr>
      <w:tr w:rsidR="00B971E4" w:rsidRPr="00A56A6A" w:rsidTr="00967BFA">
        <w:tc>
          <w:tcPr>
            <w:tcW w:w="9576" w:type="dxa"/>
            <w:gridSpan w:val="2"/>
          </w:tcPr>
          <w:p w:rsidR="005A0655" w:rsidRPr="00A56A6A" w:rsidRDefault="00432CA8" w:rsidP="00F07908">
            <w:pPr>
              <w:rPr>
                <w:rFonts w:asciiTheme="minorHAnsi" w:hAnsiTheme="minorHAnsi"/>
              </w:rPr>
            </w:pPr>
            <w:r w:rsidRPr="00A56A6A">
              <w:rPr>
                <w:rFonts w:asciiTheme="minorHAnsi" w:hAnsiTheme="minorHAnsi"/>
              </w:rPr>
              <w:t xml:space="preserve">The calculation process and approach follows the latest approved version of the methodology “Tool to calculate emission factor of an electricity system”. The methodology asks for specific parameters, data and information for the calculation of the emission factor. These data and information were all available through the above mentioned official sources in </w:t>
            </w:r>
            <w:r w:rsidR="00F07908" w:rsidRPr="00A56A6A">
              <w:rPr>
                <w:rFonts w:asciiTheme="minorHAnsi" w:hAnsiTheme="minorHAnsi"/>
              </w:rPr>
              <w:t>São Tomé and Principe</w:t>
            </w:r>
            <w:r w:rsidRPr="00A56A6A">
              <w:rPr>
                <w:rFonts w:asciiTheme="minorHAnsi" w:hAnsiTheme="minorHAnsi"/>
              </w:rPr>
              <w:t xml:space="preserve">. </w:t>
            </w:r>
            <w:r w:rsidR="00F07908" w:rsidRPr="00A56A6A">
              <w:rPr>
                <w:rFonts w:asciiTheme="minorHAnsi" w:hAnsiTheme="minorHAnsi"/>
              </w:rPr>
              <w:t xml:space="preserve">The data source used (i.e. EMAE annual reports) include all relevant data </w:t>
            </w:r>
            <w:r w:rsidR="00F07908" w:rsidRPr="00A56A6A">
              <w:rPr>
                <w:rFonts w:asciiTheme="minorHAnsi" w:hAnsiTheme="minorHAnsi"/>
              </w:rPr>
              <w:lastRenderedPageBreak/>
              <w:t>and information in aggregate to produce “true and fair” representative standardized baselines</w:t>
            </w:r>
            <w:r w:rsidRPr="00A56A6A">
              <w:rPr>
                <w:rFonts w:asciiTheme="minorHAnsi" w:hAnsiTheme="minorHAnsi"/>
              </w:rPr>
              <w:t>.</w:t>
            </w:r>
            <w:r w:rsidR="00F07908" w:rsidRPr="00A56A6A">
              <w:rPr>
                <w:rFonts w:asciiTheme="minorHAnsi" w:hAnsiTheme="minorHAnsi"/>
              </w:rPr>
              <w:t xml:space="preserve"> Since EMAE conducts necessary checks, verification and audit before publishing the annual reports, no missing data issue is found in the available information.</w:t>
            </w:r>
          </w:p>
        </w:tc>
      </w:tr>
      <w:tr w:rsidR="00B971E4" w:rsidRPr="00A56A6A" w:rsidTr="00B971E4">
        <w:tc>
          <w:tcPr>
            <w:tcW w:w="9576" w:type="dxa"/>
            <w:gridSpan w:val="2"/>
            <w:shd w:val="clear" w:color="auto" w:fill="D9D9D9" w:themeFill="background1" w:themeFillShade="D9"/>
          </w:tcPr>
          <w:p w:rsidR="00B971E4" w:rsidRPr="00A56A6A" w:rsidRDefault="00B971E4" w:rsidP="00B971E4">
            <w:pPr>
              <w:rPr>
                <w:rFonts w:asciiTheme="minorHAnsi" w:hAnsiTheme="minorHAnsi"/>
                <w:b/>
              </w:rPr>
            </w:pPr>
            <w:r w:rsidRPr="00A56A6A">
              <w:rPr>
                <w:rFonts w:asciiTheme="minorHAnsi" w:hAnsiTheme="minorHAnsi"/>
                <w:b/>
              </w:rPr>
              <w:lastRenderedPageBreak/>
              <w:t>Please specify how the transparency was achieved.</w:t>
            </w:r>
          </w:p>
        </w:tc>
      </w:tr>
      <w:tr w:rsidR="00B971E4" w:rsidRPr="00A56A6A" w:rsidTr="00B971E4">
        <w:tc>
          <w:tcPr>
            <w:tcW w:w="9576" w:type="dxa"/>
            <w:gridSpan w:val="2"/>
          </w:tcPr>
          <w:p w:rsidR="008E4791" w:rsidRPr="00A56A6A" w:rsidRDefault="008E4791" w:rsidP="00B17774">
            <w:pPr>
              <w:jc w:val="both"/>
              <w:rPr>
                <w:rFonts w:asciiTheme="minorHAnsi" w:hAnsiTheme="minorHAnsi"/>
              </w:rPr>
            </w:pPr>
            <w:r w:rsidRPr="00A56A6A">
              <w:rPr>
                <w:rFonts w:asciiTheme="minorHAnsi" w:hAnsiTheme="minorHAnsi"/>
              </w:rPr>
              <w:t xml:space="preserve">The DNA of </w:t>
            </w:r>
            <w:r w:rsidR="008C29BB" w:rsidRPr="00A56A6A">
              <w:rPr>
                <w:rFonts w:asciiTheme="minorHAnsi" w:hAnsiTheme="minorHAnsi"/>
              </w:rPr>
              <w:t xml:space="preserve">São Tomé and Principe </w:t>
            </w:r>
            <w:r w:rsidRPr="00A56A6A">
              <w:rPr>
                <w:rFonts w:asciiTheme="minorHAnsi" w:hAnsiTheme="minorHAnsi"/>
              </w:rPr>
              <w:t xml:space="preserve">with the support from </w:t>
            </w:r>
            <w:r w:rsidR="00262F77" w:rsidRPr="00A56A6A">
              <w:rPr>
                <w:rFonts w:asciiTheme="minorHAnsi" w:hAnsiTheme="minorHAnsi"/>
              </w:rPr>
              <w:t>UNEP RISOE</w:t>
            </w:r>
            <w:r w:rsidRPr="00A56A6A">
              <w:rPr>
                <w:rFonts w:asciiTheme="minorHAnsi" w:hAnsiTheme="minorHAnsi"/>
              </w:rPr>
              <w:t xml:space="preserve"> has held </w:t>
            </w:r>
            <w:r w:rsidR="008C29BB" w:rsidRPr="00A56A6A">
              <w:rPr>
                <w:rFonts w:asciiTheme="minorHAnsi" w:hAnsiTheme="minorHAnsi"/>
              </w:rPr>
              <w:t>meeting</w:t>
            </w:r>
            <w:r w:rsidR="00262F77" w:rsidRPr="00A56A6A">
              <w:rPr>
                <w:rFonts w:asciiTheme="minorHAnsi" w:hAnsiTheme="minorHAnsi"/>
              </w:rPr>
              <w:t>s</w:t>
            </w:r>
            <w:r w:rsidR="008C29BB" w:rsidRPr="00A56A6A">
              <w:rPr>
                <w:rFonts w:asciiTheme="minorHAnsi" w:hAnsiTheme="minorHAnsi"/>
              </w:rPr>
              <w:t xml:space="preserve"> with </w:t>
            </w:r>
            <w:r w:rsidRPr="00A56A6A">
              <w:rPr>
                <w:rFonts w:asciiTheme="minorHAnsi" w:hAnsiTheme="minorHAnsi"/>
              </w:rPr>
              <w:t>the power sector</w:t>
            </w:r>
            <w:r w:rsidR="008C29BB" w:rsidRPr="00A56A6A">
              <w:rPr>
                <w:rFonts w:asciiTheme="minorHAnsi" w:hAnsiTheme="minorHAnsi"/>
              </w:rPr>
              <w:t xml:space="preserve"> operators</w:t>
            </w:r>
            <w:r w:rsidRPr="00A56A6A">
              <w:rPr>
                <w:rFonts w:asciiTheme="minorHAnsi" w:hAnsiTheme="minorHAnsi"/>
              </w:rPr>
              <w:t xml:space="preserve"> in relations to data preparation, data collection, data management, </w:t>
            </w:r>
            <w:r w:rsidR="008C29BB" w:rsidRPr="00A56A6A">
              <w:rPr>
                <w:rFonts w:asciiTheme="minorHAnsi" w:hAnsiTheme="minorHAnsi"/>
              </w:rPr>
              <w:t xml:space="preserve">and </w:t>
            </w:r>
            <w:r w:rsidRPr="00A56A6A">
              <w:rPr>
                <w:rFonts w:asciiTheme="minorHAnsi" w:hAnsiTheme="minorHAnsi"/>
              </w:rPr>
              <w:t xml:space="preserve">GEF calculation and renewal of </w:t>
            </w:r>
            <w:r w:rsidR="008C29BB" w:rsidRPr="00A56A6A">
              <w:rPr>
                <w:rFonts w:asciiTheme="minorHAnsi" w:hAnsiTheme="minorHAnsi"/>
              </w:rPr>
              <w:t>the São Tomé and Principe</w:t>
            </w:r>
            <w:r w:rsidRPr="00A56A6A">
              <w:rPr>
                <w:rFonts w:asciiTheme="minorHAnsi" w:hAnsiTheme="minorHAnsi"/>
              </w:rPr>
              <w:t xml:space="preserve"> GEF as a SBL. Through the </w:t>
            </w:r>
            <w:r w:rsidR="008C29BB" w:rsidRPr="00A56A6A">
              <w:rPr>
                <w:rFonts w:asciiTheme="minorHAnsi" w:hAnsiTheme="minorHAnsi"/>
              </w:rPr>
              <w:t>meetings</w:t>
            </w:r>
            <w:r w:rsidRPr="00A56A6A">
              <w:rPr>
                <w:rFonts w:asciiTheme="minorHAnsi" w:hAnsiTheme="minorHAnsi"/>
              </w:rPr>
              <w:t>, data templates were presented to the power sector through which the required data for the GEF calculation and renewal may be maintained and submitted to DNA to facilitate further transparency and quality control.</w:t>
            </w:r>
          </w:p>
          <w:p w:rsidR="008E4791" w:rsidRPr="00A56A6A" w:rsidRDefault="008E4791" w:rsidP="00967BFA">
            <w:pPr>
              <w:rPr>
                <w:rFonts w:asciiTheme="minorHAnsi" w:hAnsiTheme="minorHAnsi"/>
              </w:rPr>
            </w:pPr>
          </w:p>
          <w:p w:rsidR="00B971E4" w:rsidRPr="00A56A6A" w:rsidRDefault="00107429" w:rsidP="00967BFA">
            <w:pPr>
              <w:rPr>
                <w:rFonts w:asciiTheme="minorHAnsi" w:hAnsiTheme="minorHAnsi"/>
              </w:rPr>
            </w:pPr>
            <w:r w:rsidRPr="00A56A6A">
              <w:rPr>
                <w:rFonts w:asciiTheme="minorHAnsi" w:hAnsiTheme="minorHAnsi"/>
              </w:rPr>
              <w:t xml:space="preserve">The transparency was </w:t>
            </w:r>
            <w:r w:rsidR="00244698" w:rsidRPr="00A56A6A">
              <w:rPr>
                <w:rFonts w:asciiTheme="minorHAnsi" w:hAnsiTheme="minorHAnsi"/>
              </w:rPr>
              <w:t xml:space="preserve">also </w:t>
            </w:r>
            <w:r w:rsidRPr="00A56A6A">
              <w:rPr>
                <w:rFonts w:asciiTheme="minorHAnsi" w:hAnsiTheme="minorHAnsi"/>
              </w:rPr>
              <w:t xml:space="preserve">achieved during data collection activities, calculation of </w:t>
            </w:r>
            <w:r w:rsidR="00B46698" w:rsidRPr="00A56A6A">
              <w:rPr>
                <w:rFonts w:asciiTheme="minorHAnsi" w:hAnsiTheme="minorHAnsi"/>
              </w:rPr>
              <w:t>GEF</w:t>
            </w:r>
            <w:r w:rsidRPr="00A56A6A">
              <w:rPr>
                <w:rFonts w:asciiTheme="minorHAnsi" w:hAnsiTheme="minorHAnsi"/>
              </w:rPr>
              <w:t xml:space="preserve"> by the </w:t>
            </w:r>
            <w:r w:rsidR="008C29BB" w:rsidRPr="00A56A6A">
              <w:rPr>
                <w:rFonts w:asciiTheme="minorHAnsi" w:hAnsiTheme="minorHAnsi"/>
              </w:rPr>
              <w:t>UNEP RISOE</w:t>
            </w:r>
            <w:r w:rsidRPr="00A56A6A">
              <w:rPr>
                <w:rFonts w:asciiTheme="minorHAnsi" w:hAnsiTheme="minorHAnsi"/>
              </w:rPr>
              <w:t xml:space="preserve"> and their constant reporting to the DNA through the following steps:</w:t>
            </w:r>
          </w:p>
          <w:p w:rsidR="00107429" w:rsidRPr="00A56A6A" w:rsidRDefault="00107429" w:rsidP="00107429">
            <w:pPr>
              <w:pStyle w:val="ListParagraph"/>
              <w:numPr>
                <w:ilvl w:val="0"/>
                <w:numId w:val="2"/>
              </w:numPr>
              <w:rPr>
                <w:rFonts w:asciiTheme="minorHAnsi" w:hAnsiTheme="minorHAnsi"/>
              </w:rPr>
            </w:pPr>
            <w:r w:rsidRPr="00A56A6A">
              <w:rPr>
                <w:rFonts w:asciiTheme="minorHAnsi" w:hAnsiTheme="minorHAnsi"/>
              </w:rPr>
              <w:t xml:space="preserve">The official sources and specifically the </w:t>
            </w:r>
            <w:r w:rsidR="008C29BB" w:rsidRPr="00A56A6A">
              <w:rPr>
                <w:rFonts w:asciiTheme="minorHAnsi" w:hAnsiTheme="minorHAnsi"/>
              </w:rPr>
              <w:t xml:space="preserve">São Tomé and Principe </w:t>
            </w:r>
            <w:r w:rsidRPr="00A56A6A">
              <w:rPr>
                <w:rFonts w:asciiTheme="minorHAnsi" w:hAnsiTheme="minorHAnsi"/>
              </w:rPr>
              <w:t>power authority (</w:t>
            </w:r>
            <w:r w:rsidR="008C29BB" w:rsidRPr="00A56A6A">
              <w:rPr>
                <w:rFonts w:asciiTheme="minorHAnsi" w:hAnsiTheme="minorHAnsi"/>
              </w:rPr>
              <w:t>EMAE</w:t>
            </w:r>
            <w:r w:rsidRPr="00A56A6A">
              <w:rPr>
                <w:rFonts w:asciiTheme="minorHAnsi" w:hAnsiTheme="minorHAnsi"/>
              </w:rPr>
              <w:t xml:space="preserve">) </w:t>
            </w:r>
            <w:r w:rsidR="008C29BB" w:rsidRPr="00A56A6A">
              <w:rPr>
                <w:rFonts w:asciiTheme="minorHAnsi" w:hAnsiTheme="minorHAnsi"/>
              </w:rPr>
              <w:t>was</w:t>
            </w:r>
            <w:r w:rsidRPr="00A56A6A">
              <w:rPr>
                <w:rFonts w:asciiTheme="minorHAnsi" w:hAnsiTheme="minorHAnsi"/>
              </w:rPr>
              <w:t xml:space="preserve"> clearly available </w:t>
            </w:r>
            <w:r w:rsidR="00262F77" w:rsidRPr="00A56A6A">
              <w:rPr>
                <w:rFonts w:asciiTheme="minorHAnsi" w:hAnsiTheme="minorHAnsi"/>
              </w:rPr>
              <w:t xml:space="preserve">in person and through phone calls </w:t>
            </w:r>
            <w:r w:rsidRPr="00A56A6A">
              <w:rPr>
                <w:rFonts w:asciiTheme="minorHAnsi" w:hAnsiTheme="minorHAnsi"/>
              </w:rPr>
              <w:t>to share the documented and well managed grid data sources with the DNA;</w:t>
            </w:r>
          </w:p>
          <w:p w:rsidR="00107429" w:rsidRPr="00A56A6A" w:rsidRDefault="00107429" w:rsidP="00107429">
            <w:pPr>
              <w:pStyle w:val="ListParagraph"/>
              <w:numPr>
                <w:ilvl w:val="0"/>
                <w:numId w:val="2"/>
              </w:numPr>
              <w:rPr>
                <w:rFonts w:asciiTheme="minorHAnsi" w:hAnsiTheme="minorHAnsi"/>
              </w:rPr>
            </w:pPr>
            <w:r w:rsidRPr="00A56A6A">
              <w:rPr>
                <w:rFonts w:asciiTheme="minorHAnsi" w:hAnsiTheme="minorHAnsi"/>
              </w:rPr>
              <w:t xml:space="preserve">The required data was made available </w:t>
            </w:r>
            <w:r w:rsidR="00845E14" w:rsidRPr="00A56A6A">
              <w:rPr>
                <w:rFonts w:asciiTheme="minorHAnsi" w:hAnsiTheme="minorHAnsi"/>
              </w:rPr>
              <w:t xml:space="preserve">by the </w:t>
            </w:r>
            <w:r w:rsidR="008C29BB" w:rsidRPr="00A56A6A">
              <w:rPr>
                <w:rFonts w:asciiTheme="minorHAnsi" w:hAnsiTheme="minorHAnsi"/>
              </w:rPr>
              <w:t>EMAE</w:t>
            </w:r>
            <w:r w:rsidR="00262F77" w:rsidRPr="00A56A6A">
              <w:rPr>
                <w:rFonts w:asciiTheme="minorHAnsi" w:hAnsiTheme="minorHAnsi"/>
              </w:rPr>
              <w:t xml:space="preserve"> representatives and the consultant</w:t>
            </w:r>
            <w:r w:rsidR="00845E14" w:rsidRPr="00A56A6A">
              <w:rPr>
                <w:rFonts w:asciiTheme="minorHAnsi" w:hAnsiTheme="minorHAnsi"/>
              </w:rPr>
              <w:t xml:space="preserve"> could meet with the focal points for further information or clarification of any raised issue</w:t>
            </w:r>
            <w:r w:rsidRPr="00A56A6A">
              <w:rPr>
                <w:rFonts w:asciiTheme="minorHAnsi" w:hAnsiTheme="minorHAnsi"/>
              </w:rPr>
              <w:t>;</w:t>
            </w:r>
          </w:p>
          <w:p w:rsidR="00845E14" w:rsidRPr="00A56A6A" w:rsidRDefault="00CE699B" w:rsidP="00107429">
            <w:pPr>
              <w:pStyle w:val="ListParagraph"/>
              <w:numPr>
                <w:ilvl w:val="0"/>
                <w:numId w:val="2"/>
              </w:numPr>
              <w:rPr>
                <w:rFonts w:asciiTheme="minorHAnsi" w:hAnsiTheme="minorHAnsi"/>
              </w:rPr>
            </w:pPr>
            <w:r w:rsidRPr="00A56A6A">
              <w:rPr>
                <w:rFonts w:asciiTheme="minorHAnsi" w:hAnsiTheme="minorHAnsi"/>
              </w:rPr>
              <w:t xml:space="preserve">EMAE representatives and DNA officials </w:t>
            </w:r>
            <w:r w:rsidR="00845E14" w:rsidRPr="00A56A6A">
              <w:rPr>
                <w:rFonts w:asciiTheme="minorHAnsi" w:hAnsiTheme="minorHAnsi"/>
              </w:rPr>
              <w:t xml:space="preserve">had the utmost cooperation during the GEF calculation with the visiting </w:t>
            </w:r>
            <w:r w:rsidR="008C29BB" w:rsidRPr="00A56A6A">
              <w:rPr>
                <w:rFonts w:asciiTheme="minorHAnsi" w:hAnsiTheme="minorHAnsi"/>
              </w:rPr>
              <w:t xml:space="preserve">UNEP RISOE consultant that </w:t>
            </w:r>
            <w:r w:rsidR="00845E14" w:rsidRPr="00A56A6A">
              <w:rPr>
                <w:rFonts w:asciiTheme="minorHAnsi" w:hAnsiTheme="minorHAnsi"/>
              </w:rPr>
              <w:t>could check the data collection and GEF calculation process;</w:t>
            </w:r>
          </w:p>
          <w:p w:rsidR="00107429" w:rsidRPr="00A56A6A" w:rsidRDefault="00826727" w:rsidP="00107429">
            <w:pPr>
              <w:pStyle w:val="ListParagraph"/>
              <w:numPr>
                <w:ilvl w:val="0"/>
                <w:numId w:val="2"/>
              </w:numPr>
              <w:rPr>
                <w:rFonts w:asciiTheme="minorHAnsi" w:hAnsiTheme="minorHAnsi"/>
              </w:rPr>
            </w:pPr>
            <w:r w:rsidRPr="00A56A6A">
              <w:rPr>
                <w:rFonts w:asciiTheme="minorHAnsi" w:hAnsiTheme="minorHAnsi"/>
              </w:rPr>
              <w:t>EMAE and DNA representative</w:t>
            </w:r>
            <w:r w:rsidR="00107429" w:rsidRPr="00A56A6A">
              <w:rPr>
                <w:rFonts w:asciiTheme="minorHAnsi" w:hAnsiTheme="minorHAnsi"/>
              </w:rPr>
              <w:t xml:space="preserve"> </w:t>
            </w:r>
            <w:r w:rsidRPr="00A56A6A">
              <w:rPr>
                <w:rFonts w:asciiTheme="minorHAnsi" w:hAnsiTheme="minorHAnsi"/>
              </w:rPr>
              <w:t xml:space="preserve">attended meetings </w:t>
            </w:r>
            <w:r w:rsidR="00107429" w:rsidRPr="00A56A6A">
              <w:rPr>
                <w:rFonts w:asciiTheme="minorHAnsi" w:hAnsiTheme="minorHAnsi"/>
              </w:rPr>
              <w:t xml:space="preserve">on how the same process can be maintained for renewal of </w:t>
            </w:r>
            <w:r w:rsidR="00B46698" w:rsidRPr="00A56A6A">
              <w:rPr>
                <w:rFonts w:asciiTheme="minorHAnsi" w:hAnsiTheme="minorHAnsi"/>
              </w:rPr>
              <w:t>GEF</w:t>
            </w:r>
            <w:r w:rsidR="00107429" w:rsidRPr="00A56A6A">
              <w:rPr>
                <w:rFonts w:asciiTheme="minorHAnsi" w:hAnsiTheme="minorHAnsi"/>
              </w:rPr>
              <w:t xml:space="preserve"> calcu</w:t>
            </w:r>
            <w:r w:rsidRPr="00A56A6A">
              <w:rPr>
                <w:rFonts w:asciiTheme="minorHAnsi" w:hAnsiTheme="minorHAnsi"/>
              </w:rPr>
              <w:t>lation and respectively the SBL.</w:t>
            </w:r>
          </w:p>
          <w:p w:rsidR="00845E14" w:rsidRPr="00A56A6A" w:rsidRDefault="00845E14" w:rsidP="00E87A3E">
            <w:pPr>
              <w:jc w:val="both"/>
              <w:rPr>
                <w:rFonts w:asciiTheme="minorHAnsi" w:hAnsiTheme="minorHAnsi"/>
              </w:rPr>
            </w:pPr>
          </w:p>
          <w:p w:rsidR="005A0655" w:rsidRPr="00A56A6A" w:rsidRDefault="00845E14" w:rsidP="00E87A3E">
            <w:pPr>
              <w:jc w:val="both"/>
              <w:rPr>
                <w:rFonts w:asciiTheme="minorHAnsi" w:hAnsiTheme="minorHAnsi"/>
              </w:rPr>
            </w:pPr>
            <w:r w:rsidRPr="00A56A6A">
              <w:rPr>
                <w:rFonts w:asciiTheme="minorHAnsi" w:hAnsiTheme="minorHAnsi"/>
              </w:rPr>
              <w:t>T</w:t>
            </w:r>
            <w:r w:rsidR="00107429" w:rsidRPr="00A56A6A">
              <w:rPr>
                <w:rFonts w:asciiTheme="minorHAnsi" w:hAnsiTheme="minorHAnsi"/>
              </w:rPr>
              <w:t xml:space="preserve">he DNA </w:t>
            </w:r>
            <w:r w:rsidRPr="00A56A6A">
              <w:rPr>
                <w:rFonts w:asciiTheme="minorHAnsi" w:hAnsiTheme="minorHAnsi"/>
              </w:rPr>
              <w:t>also had</w:t>
            </w:r>
            <w:r w:rsidR="00107429" w:rsidRPr="00A56A6A">
              <w:rPr>
                <w:rFonts w:asciiTheme="minorHAnsi" w:hAnsiTheme="minorHAnsi"/>
              </w:rPr>
              <w:t xml:space="preserve"> the opportunity to cross check the data and calculation processes </w:t>
            </w:r>
            <w:r w:rsidRPr="00A56A6A">
              <w:rPr>
                <w:rFonts w:asciiTheme="minorHAnsi" w:hAnsiTheme="minorHAnsi"/>
              </w:rPr>
              <w:t>through the</w:t>
            </w:r>
            <w:r w:rsidR="00107429" w:rsidRPr="00A56A6A">
              <w:rPr>
                <w:rFonts w:asciiTheme="minorHAnsi" w:hAnsiTheme="minorHAnsi"/>
              </w:rPr>
              <w:t xml:space="preserve"> UNFCCC Regional Collaboration Centre in </w:t>
            </w:r>
            <w:r w:rsidR="008C29BB" w:rsidRPr="00A56A6A">
              <w:rPr>
                <w:rFonts w:asciiTheme="minorHAnsi" w:hAnsiTheme="minorHAnsi"/>
              </w:rPr>
              <w:t>Lome’</w:t>
            </w:r>
            <w:r w:rsidR="00107429" w:rsidRPr="00A56A6A">
              <w:rPr>
                <w:rFonts w:asciiTheme="minorHAnsi" w:hAnsiTheme="minorHAnsi"/>
              </w:rPr>
              <w:t>.</w:t>
            </w:r>
          </w:p>
        </w:tc>
      </w:tr>
      <w:tr w:rsidR="00B971E4" w:rsidRPr="00A56A6A" w:rsidTr="00B971E4">
        <w:tc>
          <w:tcPr>
            <w:tcW w:w="9576" w:type="dxa"/>
            <w:gridSpan w:val="2"/>
            <w:shd w:val="clear" w:color="auto" w:fill="D9D9D9" w:themeFill="background1" w:themeFillShade="D9"/>
          </w:tcPr>
          <w:p w:rsidR="00B971E4" w:rsidRPr="00A56A6A" w:rsidRDefault="00B971E4" w:rsidP="00967BFA">
            <w:pPr>
              <w:rPr>
                <w:rFonts w:asciiTheme="minorHAnsi" w:hAnsiTheme="minorHAnsi"/>
                <w:b/>
              </w:rPr>
            </w:pPr>
            <w:r w:rsidRPr="00A56A6A">
              <w:rPr>
                <w:rFonts w:asciiTheme="minorHAnsi" w:hAnsiTheme="minorHAnsi"/>
                <w:b/>
              </w:rPr>
              <w:t>Please specify major issues and uncertainties identified during the QC procedures.</w:t>
            </w:r>
          </w:p>
        </w:tc>
      </w:tr>
      <w:tr w:rsidR="00B971E4" w:rsidRPr="00A56A6A" w:rsidTr="00B971E4">
        <w:tc>
          <w:tcPr>
            <w:tcW w:w="9576" w:type="dxa"/>
            <w:gridSpan w:val="2"/>
          </w:tcPr>
          <w:p w:rsidR="00B971E4" w:rsidRPr="00A56A6A" w:rsidRDefault="00E1081C" w:rsidP="00967BFA">
            <w:pPr>
              <w:rPr>
                <w:rFonts w:asciiTheme="minorHAnsi" w:hAnsiTheme="minorHAnsi"/>
              </w:rPr>
            </w:pPr>
            <w:r w:rsidRPr="00A56A6A">
              <w:rPr>
                <w:rFonts w:asciiTheme="minorHAnsi" w:hAnsiTheme="minorHAnsi"/>
              </w:rPr>
              <w:t>No major uncertainties are identified.</w:t>
            </w:r>
          </w:p>
          <w:p w:rsidR="005A0655" w:rsidRPr="00A56A6A" w:rsidRDefault="005A0655" w:rsidP="00967BFA">
            <w:pPr>
              <w:rPr>
                <w:rFonts w:asciiTheme="minorHAnsi" w:hAnsiTheme="minorHAnsi"/>
              </w:rPr>
            </w:pPr>
          </w:p>
        </w:tc>
      </w:tr>
      <w:tr w:rsidR="00B971E4" w:rsidRPr="00A56A6A" w:rsidTr="00B971E4">
        <w:tc>
          <w:tcPr>
            <w:tcW w:w="9576" w:type="dxa"/>
            <w:gridSpan w:val="2"/>
            <w:shd w:val="clear" w:color="auto" w:fill="D9D9D9" w:themeFill="background1" w:themeFillShade="D9"/>
          </w:tcPr>
          <w:p w:rsidR="00B971E4" w:rsidRPr="00A56A6A" w:rsidRDefault="00B971E4" w:rsidP="00967BFA">
            <w:pPr>
              <w:rPr>
                <w:rFonts w:asciiTheme="minorHAnsi" w:hAnsiTheme="minorHAnsi"/>
                <w:b/>
              </w:rPr>
            </w:pPr>
            <w:r w:rsidRPr="00A56A6A">
              <w:rPr>
                <w:rFonts w:asciiTheme="minorHAnsi" w:hAnsiTheme="minorHAnsi"/>
                <w:b/>
              </w:rPr>
              <w:t>Please specify major corrective actions taken during the QC procedures.</w:t>
            </w:r>
          </w:p>
        </w:tc>
      </w:tr>
      <w:tr w:rsidR="00B971E4" w:rsidRPr="00A56A6A" w:rsidTr="00B971E4">
        <w:tc>
          <w:tcPr>
            <w:tcW w:w="9576" w:type="dxa"/>
            <w:gridSpan w:val="2"/>
          </w:tcPr>
          <w:p w:rsidR="00B971E4" w:rsidRPr="00A56A6A" w:rsidRDefault="00E1081C" w:rsidP="00E1081C">
            <w:pPr>
              <w:rPr>
                <w:rFonts w:asciiTheme="minorHAnsi" w:hAnsiTheme="minorHAnsi"/>
              </w:rPr>
            </w:pPr>
            <w:r w:rsidRPr="00A56A6A">
              <w:rPr>
                <w:rFonts w:asciiTheme="minorHAnsi" w:hAnsiTheme="minorHAnsi"/>
              </w:rPr>
              <w:t xml:space="preserve">None. Besides minor issues related to the </w:t>
            </w:r>
            <w:r w:rsidR="00B46698" w:rsidRPr="00A56A6A">
              <w:rPr>
                <w:rFonts w:asciiTheme="minorHAnsi" w:hAnsiTheme="minorHAnsi"/>
              </w:rPr>
              <w:t>GEF</w:t>
            </w:r>
            <w:r w:rsidRPr="00A56A6A">
              <w:rPr>
                <w:rFonts w:asciiTheme="minorHAnsi" w:hAnsiTheme="minorHAnsi"/>
              </w:rPr>
              <w:t xml:space="preserve"> calculations that was solved rapidly through the consultants and with the help from the </w:t>
            </w:r>
            <w:bookmarkStart w:id="0" w:name="OLE_LINK1"/>
            <w:bookmarkStart w:id="1" w:name="OLE_LINK2"/>
            <w:r w:rsidRPr="00A56A6A">
              <w:rPr>
                <w:rFonts w:asciiTheme="minorHAnsi" w:hAnsiTheme="minorHAnsi"/>
              </w:rPr>
              <w:t xml:space="preserve">UNFCCC Regional Collaboration Centre in </w:t>
            </w:r>
            <w:proofErr w:type="spellStart"/>
            <w:r w:rsidR="00A922B8" w:rsidRPr="00A56A6A">
              <w:rPr>
                <w:rFonts w:asciiTheme="minorHAnsi" w:hAnsiTheme="minorHAnsi"/>
              </w:rPr>
              <w:t>Lomé</w:t>
            </w:r>
            <w:proofErr w:type="spellEnd"/>
            <w:r w:rsidRPr="00A56A6A">
              <w:rPr>
                <w:rFonts w:asciiTheme="minorHAnsi" w:hAnsiTheme="minorHAnsi"/>
              </w:rPr>
              <w:t>.</w:t>
            </w:r>
            <w:bookmarkEnd w:id="0"/>
            <w:bookmarkEnd w:id="1"/>
          </w:p>
          <w:p w:rsidR="005A0655" w:rsidRPr="00A56A6A" w:rsidRDefault="005A0655" w:rsidP="00E1081C">
            <w:pPr>
              <w:rPr>
                <w:rFonts w:asciiTheme="minorHAnsi" w:hAnsiTheme="minorHAnsi"/>
              </w:rPr>
            </w:pPr>
          </w:p>
        </w:tc>
      </w:tr>
      <w:tr w:rsidR="00B971E4" w:rsidRPr="00A56A6A" w:rsidTr="00B971E4">
        <w:tc>
          <w:tcPr>
            <w:tcW w:w="9576" w:type="dxa"/>
            <w:gridSpan w:val="2"/>
            <w:shd w:val="clear" w:color="auto" w:fill="D9D9D9" w:themeFill="background1" w:themeFillShade="D9"/>
          </w:tcPr>
          <w:p w:rsidR="00B971E4" w:rsidRPr="00A56A6A" w:rsidRDefault="00B971E4" w:rsidP="00967BFA">
            <w:pPr>
              <w:rPr>
                <w:rFonts w:asciiTheme="minorHAnsi" w:hAnsiTheme="minorHAnsi"/>
                <w:b/>
              </w:rPr>
            </w:pPr>
            <w:r w:rsidRPr="00A56A6A">
              <w:rPr>
                <w:rFonts w:asciiTheme="minorHAnsi" w:hAnsiTheme="minorHAnsi"/>
                <w:b/>
              </w:rPr>
              <w:t>Please justify the conservativeness of the approaches taken during the QC procedures</w:t>
            </w:r>
          </w:p>
        </w:tc>
      </w:tr>
      <w:tr w:rsidR="00B971E4" w:rsidRPr="00A56A6A" w:rsidTr="00B971E4">
        <w:tc>
          <w:tcPr>
            <w:tcW w:w="9576" w:type="dxa"/>
            <w:gridSpan w:val="2"/>
          </w:tcPr>
          <w:p w:rsidR="00B971E4" w:rsidRPr="00A56A6A" w:rsidRDefault="00E1081C" w:rsidP="00967BFA">
            <w:pPr>
              <w:rPr>
                <w:rFonts w:asciiTheme="minorHAnsi" w:hAnsiTheme="minorHAnsi"/>
              </w:rPr>
            </w:pPr>
            <w:r w:rsidRPr="00A56A6A">
              <w:rPr>
                <w:rFonts w:asciiTheme="minorHAnsi" w:hAnsiTheme="minorHAnsi"/>
              </w:rPr>
              <w:t xml:space="preserve">The approach follows an approved UNFCCC tool “Tool to calculate </w:t>
            </w:r>
            <w:r w:rsidR="00B46698" w:rsidRPr="00A56A6A">
              <w:rPr>
                <w:rFonts w:asciiTheme="minorHAnsi" w:hAnsiTheme="minorHAnsi"/>
              </w:rPr>
              <w:t>grid emission factor</w:t>
            </w:r>
            <w:r w:rsidRPr="00A56A6A">
              <w:rPr>
                <w:rFonts w:asciiTheme="minorHAnsi" w:hAnsiTheme="minorHAnsi"/>
              </w:rPr>
              <w:t xml:space="preserve"> of an electricity system” thus all conservative measures are already taken into account within the applied tool/methodology.</w:t>
            </w:r>
          </w:p>
          <w:p w:rsidR="005A0655" w:rsidRPr="00A56A6A" w:rsidRDefault="005A0655" w:rsidP="00967BFA">
            <w:pPr>
              <w:rPr>
                <w:rFonts w:asciiTheme="minorHAnsi" w:hAnsiTheme="minorHAnsi"/>
              </w:rPr>
            </w:pPr>
          </w:p>
        </w:tc>
      </w:tr>
      <w:tr w:rsidR="00B971E4" w:rsidRPr="00A56A6A" w:rsidTr="00B971E4">
        <w:tc>
          <w:tcPr>
            <w:tcW w:w="9576" w:type="dxa"/>
            <w:gridSpan w:val="2"/>
            <w:shd w:val="clear" w:color="auto" w:fill="D9D9D9" w:themeFill="background1" w:themeFillShade="D9"/>
          </w:tcPr>
          <w:p w:rsidR="00B971E4" w:rsidRPr="00A56A6A" w:rsidRDefault="00E1081C" w:rsidP="00B971E4">
            <w:pPr>
              <w:rPr>
                <w:rFonts w:asciiTheme="minorHAnsi" w:hAnsiTheme="minorHAnsi"/>
                <w:b/>
              </w:rPr>
            </w:pPr>
            <w:r w:rsidRPr="00A56A6A">
              <w:rPr>
                <w:rFonts w:asciiTheme="minorHAnsi" w:hAnsiTheme="minorHAnsi"/>
                <w:b/>
              </w:rPr>
              <w:t>Please summariz</w:t>
            </w:r>
            <w:r w:rsidR="00B971E4" w:rsidRPr="00A56A6A">
              <w:rPr>
                <w:rFonts w:asciiTheme="minorHAnsi" w:hAnsiTheme="minorHAnsi"/>
                <w:b/>
              </w:rPr>
              <w:t xml:space="preserve">e key findings and present a plan to improve the data quality in future  </w:t>
            </w:r>
          </w:p>
        </w:tc>
      </w:tr>
      <w:tr w:rsidR="00B971E4" w:rsidRPr="00A56A6A" w:rsidTr="00B971E4">
        <w:tc>
          <w:tcPr>
            <w:tcW w:w="9576" w:type="dxa"/>
            <w:gridSpan w:val="2"/>
          </w:tcPr>
          <w:p w:rsidR="00B971E4" w:rsidRPr="00A56A6A" w:rsidRDefault="00E1081C" w:rsidP="00967BFA">
            <w:pPr>
              <w:rPr>
                <w:rFonts w:asciiTheme="minorHAnsi" w:hAnsiTheme="minorHAnsi"/>
              </w:rPr>
            </w:pPr>
            <w:r w:rsidRPr="00A56A6A">
              <w:rPr>
                <w:rFonts w:asciiTheme="minorHAnsi" w:hAnsiTheme="minorHAnsi"/>
              </w:rPr>
              <w:t xml:space="preserve">The current data management system implemented by </w:t>
            </w:r>
            <w:r w:rsidR="00A922B8" w:rsidRPr="00A56A6A">
              <w:rPr>
                <w:rFonts w:asciiTheme="minorHAnsi" w:hAnsiTheme="minorHAnsi"/>
              </w:rPr>
              <w:t>EMAE</w:t>
            </w:r>
            <w:r w:rsidRPr="00A56A6A">
              <w:rPr>
                <w:rFonts w:asciiTheme="minorHAnsi" w:hAnsiTheme="minorHAnsi"/>
              </w:rPr>
              <w:t xml:space="preserve"> in </w:t>
            </w:r>
            <w:r w:rsidR="00A922B8" w:rsidRPr="00A56A6A">
              <w:rPr>
                <w:rFonts w:asciiTheme="minorHAnsi" w:hAnsiTheme="minorHAnsi"/>
              </w:rPr>
              <w:t xml:space="preserve">São Tomé and Principe </w:t>
            </w:r>
            <w:r w:rsidRPr="00A56A6A">
              <w:rPr>
                <w:rFonts w:asciiTheme="minorHAnsi" w:hAnsiTheme="minorHAnsi"/>
              </w:rPr>
              <w:t xml:space="preserve">is sufficient to renew the </w:t>
            </w:r>
            <w:r w:rsidR="00B46698" w:rsidRPr="00A56A6A">
              <w:rPr>
                <w:rFonts w:asciiTheme="minorHAnsi" w:hAnsiTheme="minorHAnsi"/>
              </w:rPr>
              <w:t>GEF</w:t>
            </w:r>
            <w:r w:rsidRPr="00A56A6A">
              <w:rPr>
                <w:rFonts w:asciiTheme="minorHAnsi" w:hAnsiTheme="minorHAnsi"/>
              </w:rPr>
              <w:t xml:space="preserve"> calculations for </w:t>
            </w:r>
            <w:r w:rsidR="00A922B8" w:rsidRPr="00A56A6A">
              <w:rPr>
                <w:rFonts w:asciiTheme="minorHAnsi" w:hAnsiTheme="minorHAnsi"/>
              </w:rPr>
              <w:t>São Tomé and Principe</w:t>
            </w:r>
            <w:r w:rsidRPr="00A56A6A">
              <w:rPr>
                <w:rFonts w:asciiTheme="minorHAnsi" w:hAnsiTheme="minorHAnsi"/>
              </w:rPr>
              <w:t>.</w:t>
            </w:r>
          </w:p>
          <w:p w:rsidR="00E1081C" w:rsidRPr="00A56A6A" w:rsidRDefault="00E1081C" w:rsidP="00967BFA">
            <w:pPr>
              <w:rPr>
                <w:rFonts w:asciiTheme="minorHAnsi" w:hAnsiTheme="minorHAnsi"/>
              </w:rPr>
            </w:pPr>
          </w:p>
          <w:p w:rsidR="00E1081C" w:rsidRPr="00A56A6A" w:rsidRDefault="00E1081C" w:rsidP="00967BFA">
            <w:pPr>
              <w:rPr>
                <w:rFonts w:asciiTheme="minorHAnsi" w:hAnsiTheme="minorHAnsi"/>
              </w:rPr>
            </w:pPr>
            <w:r w:rsidRPr="00A56A6A">
              <w:rPr>
                <w:rFonts w:asciiTheme="minorHAnsi" w:hAnsiTheme="minorHAnsi"/>
              </w:rPr>
              <w:t xml:space="preserve">Further suggestions were given </w:t>
            </w:r>
            <w:r w:rsidR="00A922B8" w:rsidRPr="00A56A6A">
              <w:rPr>
                <w:rFonts w:asciiTheme="minorHAnsi" w:hAnsiTheme="minorHAnsi"/>
              </w:rPr>
              <w:t xml:space="preserve">during </w:t>
            </w:r>
            <w:r w:rsidRPr="00A56A6A">
              <w:rPr>
                <w:rFonts w:asciiTheme="minorHAnsi" w:hAnsiTheme="minorHAnsi"/>
              </w:rPr>
              <w:t xml:space="preserve">capacity building </w:t>
            </w:r>
            <w:r w:rsidR="00A922B8" w:rsidRPr="00A56A6A">
              <w:rPr>
                <w:rFonts w:asciiTheme="minorHAnsi" w:hAnsiTheme="minorHAnsi"/>
              </w:rPr>
              <w:t xml:space="preserve">meetings </w:t>
            </w:r>
            <w:r w:rsidRPr="00A56A6A">
              <w:rPr>
                <w:rFonts w:asciiTheme="minorHAnsi" w:hAnsiTheme="minorHAnsi"/>
              </w:rPr>
              <w:t>in 2013</w:t>
            </w:r>
            <w:r w:rsidR="00A922B8" w:rsidRPr="00A56A6A">
              <w:rPr>
                <w:rFonts w:asciiTheme="minorHAnsi" w:hAnsiTheme="minorHAnsi"/>
              </w:rPr>
              <w:t xml:space="preserve"> and along the SBL development period</w:t>
            </w:r>
            <w:r w:rsidRPr="00A56A6A">
              <w:rPr>
                <w:rFonts w:asciiTheme="minorHAnsi" w:hAnsiTheme="minorHAnsi"/>
              </w:rPr>
              <w:t xml:space="preserve">, where specific data templates were given to </w:t>
            </w:r>
            <w:r w:rsidR="00A922B8" w:rsidRPr="00A56A6A">
              <w:rPr>
                <w:rFonts w:asciiTheme="minorHAnsi" w:hAnsiTheme="minorHAnsi"/>
              </w:rPr>
              <w:t>EMAE and</w:t>
            </w:r>
            <w:r w:rsidRPr="00A56A6A">
              <w:rPr>
                <w:rFonts w:asciiTheme="minorHAnsi" w:hAnsiTheme="minorHAnsi"/>
              </w:rPr>
              <w:t xml:space="preserve"> DNA and other present stakeholders in order to facilitate a smoother and further timely calculation of </w:t>
            </w:r>
            <w:r w:rsidR="007841FE" w:rsidRPr="00A56A6A">
              <w:rPr>
                <w:rFonts w:asciiTheme="minorHAnsi" w:hAnsiTheme="minorHAnsi"/>
              </w:rPr>
              <w:t>the</w:t>
            </w:r>
            <w:r w:rsidRPr="00A56A6A">
              <w:rPr>
                <w:rFonts w:asciiTheme="minorHAnsi" w:hAnsiTheme="minorHAnsi"/>
              </w:rPr>
              <w:t xml:space="preserve"> future </w:t>
            </w:r>
            <w:r w:rsidR="00B46698" w:rsidRPr="00A56A6A">
              <w:rPr>
                <w:rFonts w:asciiTheme="minorHAnsi" w:hAnsiTheme="minorHAnsi"/>
              </w:rPr>
              <w:t>GEF</w:t>
            </w:r>
            <w:r w:rsidRPr="00A56A6A">
              <w:rPr>
                <w:rFonts w:asciiTheme="minorHAnsi" w:hAnsiTheme="minorHAnsi"/>
              </w:rPr>
              <w:t>s.</w:t>
            </w:r>
            <w:r w:rsidR="00A922B8" w:rsidRPr="00A56A6A">
              <w:rPr>
                <w:rFonts w:asciiTheme="minorHAnsi" w:hAnsiTheme="minorHAnsi"/>
              </w:rPr>
              <w:t xml:space="preserve"> These meeting were coordinated by UNEP RISOE and the UNFCCC Regional Collaboration Centre of </w:t>
            </w:r>
            <w:proofErr w:type="spellStart"/>
            <w:r w:rsidR="00A922B8" w:rsidRPr="00A56A6A">
              <w:rPr>
                <w:rFonts w:asciiTheme="minorHAnsi" w:hAnsiTheme="minorHAnsi"/>
              </w:rPr>
              <w:t>Lomé</w:t>
            </w:r>
            <w:proofErr w:type="spellEnd"/>
            <w:r w:rsidR="00A922B8" w:rsidRPr="00A56A6A">
              <w:rPr>
                <w:rFonts w:asciiTheme="minorHAnsi" w:hAnsiTheme="minorHAnsi"/>
              </w:rPr>
              <w:t>.</w:t>
            </w:r>
          </w:p>
          <w:p w:rsidR="005A0655" w:rsidRPr="00A56A6A" w:rsidRDefault="005A0655" w:rsidP="00967BFA">
            <w:pPr>
              <w:rPr>
                <w:rFonts w:asciiTheme="minorHAnsi" w:hAnsiTheme="minorHAnsi"/>
              </w:rPr>
            </w:pPr>
          </w:p>
        </w:tc>
      </w:tr>
    </w:tbl>
    <w:p w:rsidR="00B971E4" w:rsidRPr="00A56A6A" w:rsidRDefault="00B971E4" w:rsidP="00B971E4">
      <w:pPr>
        <w:rPr>
          <w:rFonts w:asciiTheme="minorHAnsi" w:hAnsiTheme="minorHAnsi"/>
        </w:rPr>
      </w:pPr>
    </w:p>
    <w:p w:rsidR="00B971E4" w:rsidRPr="005A0655" w:rsidRDefault="00B971E4" w:rsidP="00B971E4">
      <w:pPr>
        <w:rPr>
          <w:rFonts w:asciiTheme="minorHAnsi" w:hAnsiTheme="minorHAnsi"/>
          <w:b/>
        </w:rPr>
      </w:pPr>
      <w:r w:rsidRPr="00A56A6A">
        <w:rPr>
          <w:rFonts w:asciiTheme="minorHAnsi" w:hAnsiTheme="minorHAnsi"/>
          <w:b/>
        </w:rPr>
        <w:t>Date to of QC report finalization</w:t>
      </w:r>
      <w:r w:rsidRPr="00A56A6A">
        <w:rPr>
          <w:rFonts w:asciiTheme="minorHAnsi" w:hAnsiTheme="minorHAnsi"/>
          <w:b/>
        </w:rPr>
        <w:tab/>
      </w:r>
      <w:r w:rsidRPr="00A56A6A">
        <w:rPr>
          <w:rFonts w:asciiTheme="minorHAnsi" w:hAnsiTheme="minorHAnsi"/>
          <w:b/>
        </w:rPr>
        <w:tab/>
      </w:r>
      <w:r w:rsidRPr="00A56A6A">
        <w:rPr>
          <w:rFonts w:asciiTheme="minorHAnsi" w:hAnsiTheme="minorHAnsi"/>
          <w:b/>
        </w:rPr>
        <w:tab/>
      </w:r>
      <w:r w:rsidRPr="00A56A6A">
        <w:rPr>
          <w:rFonts w:asciiTheme="minorHAnsi" w:hAnsiTheme="minorHAnsi"/>
          <w:b/>
        </w:rPr>
        <w:tab/>
      </w:r>
      <w:r w:rsidRPr="00A56A6A">
        <w:rPr>
          <w:rFonts w:asciiTheme="minorHAnsi" w:hAnsiTheme="minorHAnsi"/>
          <w:b/>
        </w:rPr>
        <w:tab/>
      </w:r>
      <w:r w:rsidRPr="00A56A6A">
        <w:rPr>
          <w:rFonts w:asciiTheme="minorHAnsi" w:hAnsiTheme="minorHAnsi"/>
          <w:b/>
        </w:rPr>
        <w:tab/>
        <w:t>Signature of the DNA</w:t>
      </w:r>
    </w:p>
    <w:p w:rsidR="002C127E" w:rsidRPr="002C127E" w:rsidRDefault="00A56A6A">
      <w:pPr>
        <w:rPr>
          <w:rFonts w:asciiTheme="minorHAnsi" w:hAnsiTheme="minorHAnsi"/>
        </w:rPr>
      </w:pPr>
      <w:r>
        <w:rPr>
          <w:rFonts w:asciiTheme="minorHAnsi" w:hAnsiTheme="minorHAnsi"/>
        </w:rPr>
        <w:t>03/11/2015</w:t>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Pr>
          <w:rFonts w:asciiTheme="minorHAnsi" w:hAnsiTheme="minorHAnsi"/>
        </w:rPr>
        <w:tab/>
      </w:r>
      <w:r w:rsidRPr="00A56A6A">
        <w:rPr>
          <w:rFonts w:asciiTheme="minorHAnsi" w:hAnsiTheme="minorHAnsi"/>
        </w:rPr>
        <w:t xml:space="preserve">Mr. </w:t>
      </w:r>
      <w:proofErr w:type="spellStart"/>
      <w:r w:rsidRPr="00A56A6A">
        <w:rPr>
          <w:rFonts w:asciiTheme="minorHAnsi" w:hAnsiTheme="minorHAnsi"/>
        </w:rPr>
        <w:t>Madival</w:t>
      </w:r>
      <w:proofErr w:type="spellEnd"/>
      <w:r w:rsidRPr="00A56A6A">
        <w:rPr>
          <w:rFonts w:asciiTheme="minorHAnsi" w:hAnsiTheme="minorHAnsi"/>
        </w:rPr>
        <w:t xml:space="preserve"> Alva das Neves</w:t>
      </w:r>
      <w:bookmarkStart w:id="2" w:name="_GoBack"/>
      <w:bookmarkEnd w:id="2"/>
    </w:p>
    <w:sectPr w:rsidR="002C127E" w:rsidRPr="002C127E">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FoundryFormSans-Book">
    <w:altName w:val="Courier New"/>
    <w:panose1 w:val="00000000000000000000"/>
    <w:charset w:val="00"/>
    <w:family w:val="auto"/>
    <w:notTrueType/>
    <w:pitch w:val="variable"/>
    <w:sig w:usb0="00000001" w:usb1="00000000" w:usb2="00000000" w:usb3="00000000" w:csb0="00000009"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03B45"/>
    <w:multiLevelType w:val="hybridMultilevel"/>
    <w:tmpl w:val="207228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7B06C2B"/>
    <w:multiLevelType w:val="hybridMultilevel"/>
    <w:tmpl w:val="D68077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40F1907"/>
    <w:multiLevelType w:val="hybridMultilevel"/>
    <w:tmpl w:val="6994E26E"/>
    <w:lvl w:ilvl="0" w:tplc="744614B2">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4D5"/>
    <w:rsid w:val="00063D0B"/>
    <w:rsid w:val="000723D3"/>
    <w:rsid w:val="000D62CC"/>
    <w:rsid w:val="000D6533"/>
    <w:rsid w:val="00107429"/>
    <w:rsid w:val="00166D9A"/>
    <w:rsid w:val="00176F2E"/>
    <w:rsid w:val="0018071B"/>
    <w:rsid w:val="001A489E"/>
    <w:rsid w:val="00215E61"/>
    <w:rsid w:val="00244698"/>
    <w:rsid w:val="00262F77"/>
    <w:rsid w:val="0028025E"/>
    <w:rsid w:val="00287089"/>
    <w:rsid w:val="002C127E"/>
    <w:rsid w:val="002D05C5"/>
    <w:rsid w:val="00344CE0"/>
    <w:rsid w:val="00380592"/>
    <w:rsid w:val="00427213"/>
    <w:rsid w:val="00432CA8"/>
    <w:rsid w:val="004724D5"/>
    <w:rsid w:val="004C757A"/>
    <w:rsid w:val="004F3B2B"/>
    <w:rsid w:val="0051593F"/>
    <w:rsid w:val="005671C4"/>
    <w:rsid w:val="005A0655"/>
    <w:rsid w:val="005E2BFC"/>
    <w:rsid w:val="0063439D"/>
    <w:rsid w:val="007672DA"/>
    <w:rsid w:val="00781D8A"/>
    <w:rsid w:val="007841FE"/>
    <w:rsid w:val="007E7D74"/>
    <w:rsid w:val="00826727"/>
    <w:rsid w:val="00845E14"/>
    <w:rsid w:val="0087323F"/>
    <w:rsid w:val="008A581F"/>
    <w:rsid w:val="008C02F4"/>
    <w:rsid w:val="008C29BB"/>
    <w:rsid w:val="008D3E84"/>
    <w:rsid w:val="008E4791"/>
    <w:rsid w:val="009A74CF"/>
    <w:rsid w:val="009E30CF"/>
    <w:rsid w:val="00A066DC"/>
    <w:rsid w:val="00A31442"/>
    <w:rsid w:val="00A56A6A"/>
    <w:rsid w:val="00A922B8"/>
    <w:rsid w:val="00AA37D0"/>
    <w:rsid w:val="00B17774"/>
    <w:rsid w:val="00B46698"/>
    <w:rsid w:val="00B84952"/>
    <w:rsid w:val="00B971E4"/>
    <w:rsid w:val="00BD0C93"/>
    <w:rsid w:val="00C362F6"/>
    <w:rsid w:val="00C5186E"/>
    <w:rsid w:val="00CA5374"/>
    <w:rsid w:val="00CE33D7"/>
    <w:rsid w:val="00CE699B"/>
    <w:rsid w:val="00D80129"/>
    <w:rsid w:val="00E1081C"/>
    <w:rsid w:val="00E438BA"/>
    <w:rsid w:val="00E44EEF"/>
    <w:rsid w:val="00E87A3E"/>
    <w:rsid w:val="00EB274B"/>
    <w:rsid w:val="00F07908"/>
    <w:rsid w:val="00F241C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3E84"/>
    <w:rPr>
      <w:rFonts w:ascii="FoundryFormSans-Book" w:hAnsi="FoundryFormSans-Book"/>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C12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C757A"/>
    <w:pPr>
      <w:ind w:left="720"/>
      <w:contextualSpacing/>
    </w:pPr>
  </w:style>
  <w:style w:type="character" w:styleId="CommentReference">
    <w:name w:val="annotation reference"/>
    <w:basedOn w:val="DefaultParagraphFont"/>
    <w:uiPriority w:val="99"/>
    <w:semiHidden/>
    <w:unhideWhenUsed/>
    <w:rsid w:val="005E2BFC"/>
    <w:rPr>
      <w:sz w:val="16"/>
      <w:szCs w:val="16"/>
    </w:rPr>
  </w:style>
  <w:style w:type="paragraph" w:styleId="CommentText">
    <w:name w:val="annotation text"/>
    <w:basedOn w:val="Normal"/>
    <w:link w:val="CommentTextChar"/>
    <w:uiPriority w:val="99"/>
    <w:semiHidden/>
    <w:unhideWhenUsed/>
    <w:rsid w:val="005E2BFC"/>
    <w:pPr>
      <w:spacing w:line="240" w:lineRule="auto"/>
    </w:pPr>
    <w:rPr>
      <w:szCs w:val="20"/>
    </w:rPr>
  </w:style>
  <w:style w:type="character" w:customStyle="1" w:styleId="CommentTextChar">
    <w:name w:val="Comment Text Char"/>
    <w:basedOn w:val="DefaultParagraphFont"/>
    <w:link w:val="CommentText"/>
    <w:uiPriority w:val="99"/>
    <w:semiHidden/>
    <w:rsid w:val="005E2BFC"/>
    <w:rPr>
      <w:rFonts w:ascii="FoundryFormSans-Book" w:hAnsi="FoundryFormSans-Book"/>
      <w:sz w:val="20"/>
      <w:szCs w:val="20"/>
    </w:rPr>
  </w:style>
  <w:style w:type="paragraph" w:styleId="CommentSubject">
    <w:name w:val="annotation subject"/>
    <w:basedOn w:val="CommentText"/>
    <w:next w:val="CommentText"/>
    <w:link w:val="CommentSubjectChar"/>
    <w:uiPriority w:val="99"/>
    <w:semiHidden/>
    <w:unhideWhenUsed/>
    <w:rsid w:val="005E2BFC"/>
    <w:rPr>
      <w:b/>
      <w:bCs/>
    </w:rPr>
  </w:style>
  <w:style w:type="character" w:customStyle="1" w:styleId="CommentSubjectChar">
    <w:name w:val="Comment Subject Char"/>
    <w:basedOn w:val="CommentTextChar"/>
    <w:link w:val="CommentSubject"/>
    <w:uiPriority w:val="99"/>
    <w:semiHidden/>
    <w:rsid w:val="005E2BFC"/>
    <w:rPr>
      <w:rFonts w:ascii="FoundryFormSans-Book" w:hAnsi="FoundryFormSans-Book"/>
      <w:b/>
      <w:bCs/>
      <w:sz w:val="20"/>
      <w:szCs w:val="20"/>
    </w:rPr>
  </w:style>
  <w:style w:type="paragraph" w:styleId="BalloonText">
    <w:name w:val="Balloon Text"/>
    <w:basedOn w:val="Normal"/>
    <w:link w:val="BalloonTextChar"/>
    <w:uiPriority w:val="99"/>
    <w:semiHidden/>
    <w:unhideWhenUsed/>
    <w:rsid w:val="005E2B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2BFC"/>
    <w:rPr>
      <w:rFonts w:ascii="Tahoma" w:hAnsi="Tahoma" w:cs="Tahoma"/>
      <w:sz w:val="16"/>
      <w:szCs w:val="16"/>
    </w:rPr>
  </w:style>
  <w:style w:type="paragraph" w:styleId="Revision">
    <w:name w:val="Revision"/>
    <w:hidden/>
    <w:uiPriority w:val="99"/>
    <w:semiHidden/>
    <w:rsid w:val="00166D9A"/>
    <w:pPr>
      <w:spacing w:after="0" w:line="240" w:lineRule="auto"/>
    </w:pPr>
    <w:rPr>
      <w:rFonts w:ascii="FoundryFormSans-Book" w:hAnsi="FoundryFormSans-Book"/>
      <w:sz w:val="20"/>
    </w:rPr>
  </w:style>
  <w:style w:type="character" w:styleId="Hyperlink">
    <w:name w:val="Hyperlink"/>
    <w:basedOn w:val="DefaultParagraphFont"/>
    <w:uiPriority w:val="99"/>
    <w:unhideWhenUsed/>
    <w:rsid w:val="0063439D"/>
    <w:rPr>
      <w:color w:val="0000FF" w:themeColor="hyperlink"/>
      <w:u w:val="single"/>
    </w:rPr>
  </w:style>
  <w:style w:type="character" w:customStyle="1" w:styleId="hps">
    <w:name w:val="hps"/>
    <w:rsid w:val="00A066DC"/>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D3E84"/>
    <w:rPr>
      <w:rFonts w:ascii="FoundryFormSans-Book" w:hAnsi="FoundryFormSans-Book"/>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2C12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4C757A"/>
    <w:pPr>
      <w:ind w:left="720"/>
      <w:contextualSpacing/>
    </w:pPr>
  </w:style>
  <w:style w:type="character" w:styleId="CommentReference">
    <w:name w:val="annotation reference"/>
    <w:basedOn w:val="DefaultParagraphFont"/>
    <w:uiPriority w:val="99"/>
    <w:semiHidden/>
    <w:unhideWhenUsed/>
    <w:rsid w:val="005E2BFC"/>
    <w:rPr>
      <w:sz w:val="16"/>
      <w:szCs w:val="16"/>
    </w:rPr>
  </w:style>
  <w:style w:type="paragraph" w:styleId="CommentText">
    <w:name w:val="annotation text"/>
    <w:basedOn w:val="Normal"/>
    <w:link w:val="CommentTextChar"/>
    <w:uiPriority w:val="99"/>
    <w:semiHidden/>
    <w:unhideWhenUsed/>
    <w:rsid w:val="005E2BFC"/>
    <w:pPr>
      <w:spacing w:line="240" w:lineRule="auto"/>
    </w:pPr>
    <w:rPr>
      <w:szCs w:val="20"/>
    </w:rPr>
  </w:style>
  <w:style w:type="character" w:customStyle="1" w:styleId="CommentTextChar">
    <w:name w:val="Comment Text Char"/>
    <w:basedOn w:val="DefaultParagraphFont"/>
    <w:link w:val="CommentText"/>
    <w:uiPriority w:val="99"/>
    <w:semiHidden/>
    <w:rsid w:val="005E2BFC"/>
    <w:rPr>
      <w:rFonts w:ascii="FoundryFormSans-Book" w:hAnsi="FoundryFormSans-Book"/>
      <w:sz w:val="20"/>
      <w:szCs w:val="20"/>
    </w:rPr>
  </w:style>
  <w:style w:type="paragraph" w:styleId="CommentSubject">
    <w:name w:val="annotation subject"/>
    <w:basedOn w:val="CommentText"/>
    <w:next w:val="CommentText"/>
    <w:link w:val="CommentSubjectChar"/>
    <w:uiPriority w:val="99"/>
    <w:semiHidden/>
    <w:unhideWhenUsed/>
    <w:rsid w:val="005E2BFC"/>
    <w:rPr>
      <w:b/>
      <w:bCs/>
    </w:rPr>
  </w:style>
  <w:style w:type="character" w:customStyle="1" w:styleId="CommentSubjectChar">
    <w:name w:val="Comment Subject Char"/>
    <w:basedOn w:val="CommentTextChar"/>
    <w:link w:val="CommentSubject"/>
    <w:uiPriority w:val="99"/>
    <w:semiHidden/>
    <w:rsid w:val="005E2BFC"/>
    <w:rPr>
      <w:rFonts w:ascii="FoundryFormSans-Book" w:hAnsi="FoundryFormSans-Book"/>
      <w:b/>
      <w:bCs/>
      <w:sz w:val="20"/>
      <w:szCs w:val="20"/>
    </w:rPr>
  </w:style>
  <w:style w:type="paragraph" w:styleId="BalloonText">
    <w:name w:val="Balloon Text"/>
    <w:basedOn w:val="Normal"/>
    <w:link w:val="BalloonTextChar"/>
    <w:uiPriority w:val="99"/>
    <w:semiHidden/>
    <w:unhideWhenUsed/>
    <w:rsid w:val="005E2BF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5E2BFC"/>
    <w:rPr>
      <w:rFonts w:ascii="Tahoma" w:hAnsi="Tahoma" w:cs="Tahoma"/>
      <w:sz w:val="16"/>
      <w:szCs w:val="16"/>
    </w:rPr>
  </w:style>
  <w:style w:type="paragraph" w:styleId="Revision">
    <w:name w:val="Revision"/>
    <w:hidden/>
    <w:uiPriority w:val="99"/>
    <w:semiHidden/>
    <w:rsid w:val="00166D9A"/>
    <w:pPr>
      <w:spacing w:after="0" w:line="240" w:lineRule="auto"/>
    </w:pPr>
    <w:rPr>
      <w:rFonts w:ascii="FoundryFormSans-Book" w:hAnsi="FoundryFormSans-Book"/>
      <w:sz w:val="20"/>
    </w:rPr>
  </w:style>
  <w:style w:type="character" w:styleId="Hyperlink">
    <w:name w:val="Hyperlink"/>
    <w:basedOn w:val="DefaultParagraphFont"/>
    <w:uiPriority w:val="99"/>
    <w:unhideWhenUsed/>
    <w:rsid w:val="0063439D"/>
    <w:rPr>
      <w:color w:val="0000FF" w:themeColor="hyperlink"/>
      <w:u w:val="single"/>
    </w:rPr>
  </w:style>
  <w:style w:type="character" w:customStyle="1" w:styleId="hps">
    <w:name w:val="hps"/>
    <w:rsid w:val="00A066D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Madaval15@hotmail.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3</Pages>
  <Words>1564</Words>
  <Characters>8921</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10465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Bamshad Houshyani</dc:creator>
  <cp:lastModifiedBy>Andrea Camponogara</cp:lastModifiedBy>
  <cp:revision>3</cp:revision>
  <cp:lastPrinted>2014-08-14T09:46:00Z</cp:lastPrinted>
  <dcterms:created xsi:type="dcterms:W3CDTF">2015-11-04T14:22:00Z</dcterms:created>
  <dcterms:modified xsi:type="dcterms:W3CDTF">2015-11-04T14:24:00Z</dcterms:modified>
</cp:coreProperties>
</file>