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53" w:rsidRDefault="004D2653">
      <w:pPr>
        <w:rPr>
          <w:rFonts w:hint="eastAsia"/>
        </w:rPr>
      </w:pPr>
    </w:p>
    <w:p w:rsidR="004D2653" w:rsidRDefault="004D2653">
      <w:pPr>
        <w:rPr>
          <w:rFonts w:hint="eastAsia"/>
        </w:rPr>
      </w:pPr>
      <w:r>
        <w:rPr>
          <w:rFonts w:hint="eastAsia"/>
        </w:rPr>
        <w:t>New proposal</w:t>
      </w:r>
      <w:r>
        <w:rPr>
          <w:rFonts w:hint="eastAsia"/>
        </w:rPr>
        <w:t xml:space="preserve">　</w:t>
      </w:r>
      <w:r>
        <w:rPr>
          <w:rFonts w:hint="eastAsia"/>
        </w:rPr>
        <w:t>for baseline emissions calculation</w:t>
      </w:r>
    </w:p>
    <w:p w:rsidR="004D2653" w:rsidRDefault="004D2653">
      <w:pPr>
        <w:rPr>
          <w:rFonts w:hint="eastAsia"/>
        </w:rPr>
      </w:pPr>
    </w:p>
    <w:p w:rsidR="004D2653" w:rsidRDefault="004D2653">
      <w:pPr>
        <w:rPr>
          <w:rFonts w:hint="eastAsia"/>
        </w:rPr>
      </w:pPr>
      <w:r w:rsidRPr="003E4BCD">
        <w:rPr>
          <w:position w:val="-14"/>
        </w:rPr>
        <w:object w:dxaOrig="21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45pt;height:19.4pt" o:ole="">
            <v:imagedata r:id="rId5" o:title=""/>
          </v:shape>
          <o:OLEObject Type="Embed" ProgID="Equation.3" ShapeID="_x0000_i1025" DrawAspect="Content" ObjectID="_1430855457" r:id="rId6"/>
        </w:object>
      </w:r>
    </w:p>
    <w:p w:rsidR="004D2653" w:rsidRDefault="00F56036">
      <w:pPr>
        <w:rPr>
          <w:rFonts w:hint="eastAsia"/>
        </w:rPr>
      </w:pPr>
      <w:r w:rsidRPr="00665A49">
        <w:rPr>
          <w:position w:val="-32"/>
        </w:rPr>
        <w:object w:dxaOrig="5040" w:dyaOrig="780">
          <v:shape id="_x0000_i1026" type="#_x0000_t75" style="width:249.8pt;height:39.45pt" o:ole="">
            <v:imagedata r:id="rId7" o:title=""/>
          </v:shape>
          <o:OLEObject Type="Embed" ProgID="Equation.3" ShapeID="_x0000_i1026" DrawAspect="Content" ObjectID="_1430855458" r:id="rId8"/>
        </w:object>
      </w:r>
    </w:p>
    <w:p w:rsidR="004D2653" w:rsidRDefault="004D2653">
      <w:pPr>
        <w:rPr>
          <w:rFonts w:hint="eastAsia"/>
        </w:rPr>
      </w:pPr>
      <w:r>
        <w:rPr>
          <w:rFonts w:hint="eastAsia"/>
        </w:rPr>
        <w:t>(</w:t>
      </w:r>
      <w:r w:rsidR="00F56036" w:rsidRPr="003E4BCD">
        <w:rPr>
          <w:position w:val="-14"/>
        </w:rPr>
        <w:object w:dxaOrig="2799" w:dyaOrig="420">
          <v:shape id="_x0000_i1027" type="#_x0000_t75" style="width:137.75pt;height:21.3pt" o:ole="">
            <v:imagedata r:id="rId9" o:title=""/>
          </v:shape>
          <o:OLEObject Type="Embed" ProgID="Equation.3" ShapeID="_x0000_i1027" DrawAspect="Content" ObjectID="_1430855459" r:id="rId10"/>
        </w:object>
      </w:r>
      <w:r>
        <w:rPr>
          <w:rFonts w:hint="eastAsia"/>
        </w:rPr>
        <w:t>)</w:t>
      </w:r>
    </w:p>
    <w:tbl>
      <w:tblPr>
        <w:tblW w:w="9067" w:type="dxa"/>
        <w:tblLook w:val="01E0"/>
      </w:tblPr>
      <w:tblGrid>
        <w:gridCol w:w="1484"/>
        <w:gridCol w:w="7583"/>
      </w:tblGrid>
      <w:tr w:rsidR="004D2653" w:rsidRPr="008B4228" w:rsidTr="001C26D2">
        <w:trPr>
          <w:trHeight w:val="387"/>
        </w:trPr>
        <w:tc>
          <w:tcPr>
            <w:tcW w:w="1484" w:type="dxa"/>
          </w:tcPr>
          <w:p w:rsidR="004D2653" w:rsidRPr="00D15B02" w:rsidRDefault="004D2653" w:rsidP="001C26D2">
            <w:pPr>
              <w:pStyle w:val="AnnoPara"/>
              <w:numPr>
                <w:ilvl w:val="0"/>
                <w:numId w:val="0"/>
              </w:numPr>
              <w:spacing w:before="0"/>
              <w:jc w:val="both"/>
              <w:rPr>
                <w:b/>
                <w:bCs/>
                <w:iCs/>
                <w:szCs w:val="22"/>
                <w:lang w:eastAsia="ja-JP"/>
              </w:rPr>
            </w:pPr>
            <w:r w:rsidRPr="00D15B02">
              <w:rPr>
                <w:rFonts w:hint="eastAsia"/>
                <w:lang w:val="en-US" w:eastAsia="ja-JP" w:bidi="km-KH"/>
              </w:rPr>
              <w:t>EF</w:t>
            </w:r>
            <w:r w:rsidRPr="00624AD8">
              <w:rPr>
                <w:rFonts w:hint="eastAsia"/>
                <w:i/>
                <w:iCs/>
                <w:lang w:val="en-US" w:eastAsia="ja-JP" w:bidi="km-KH"/>
              </w:rPr>
              <w:t xml:space="preserve"> </w:t>
            </w:r>
            <w:proofErr w:type="spellStart"/>
            <w:r>
              <w:rPr>
                <w:rFonts w:hint="eastAsia"/>
                <w:i/>
                <w:iCs/>
                <w:vertAlign w:val="subscript"/>
                <w:lang w:val="en-US" w:eastAsia="ja-JP" w:bidi="km-KH"/>
              </w:rPr>
              <w:t>BL</w:t>
            </w:r>
            <w:r w:rsidRPr="00624AD8">
              <w:rPr>
                <w:rFonts w:hint="eastAsia"/>
                <w:i/>
                <w:iCs/>
                <w:vertAlign w:val="subscript"/>
                <w:lang w:val="en-US" w:eastAsia="ja-JP" w:bidi="km-KH"/>
              </w:rPr>
              <w:t>,y</w:t>
            </w:r>
            <w:proofErr w:type="spellEnd"/>
            <w:r w:rsidRPr="00624AD8">
              <w:rPr>
                <w:rFonts w:hint="eastAsia"/>
                <w:i/>
                <w:iCs/>
                <w:vertAlign w:val="subscript"/>
                <w:lang w:val="en-US" w:eastAsia="ja-JP" w:bidi="km-KH"/>
              </w:rPr>
              <w:t xml:space="preserve"> </w:t>
            </w:r>
            <w:r w:rsidRPr="00624AD8">
              <w:rPr>
                <w:rFonts w:hint="eastAsia"/>
                <w:i/>
                <w:iCs/>
                <w:lang w:val="en-US" w:eastAsia="ja-JP" w:bidi="km-KH"/>
              </w:rPr>
              <w:t xml:space="preserve"> </w:t>
            </w:r>
          </w:p>
        </w:tc>
        <w:tc>
          <w:tcPr>
            <w:tcW w:w="7583" w:type="dxa"/>
          </w:tcPr>
          <w:p w:rsidR="004D2653" w:rsidRPr="00D15B02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lang w:val="en-ZA" w:eastAsia="ja-JP"/>
              </w:rPr>
            </w:pPr>
            <w:r w:rsidRPr="00D15B02">
              <w:rPr>
                <w:rFonts w:hint="eastAsia"/>
                <w:lang w:val="en-ZA" w:eastAsia="ja-JP"/>
              </w:rPr>
              <w:t xml:space="preserve">Emission Factor of </w:t>
            </w:r>
            <w:r>
              <w:rPr>
                <w:rFonts w:hint="eastAsia"/>
                <w:lang w:val="en-ZA" w:eastAsia="ja-JP"/>
              </w:rPr>
              <w:t xml:space="preserve">Baseline </w:t>
            </w:r>
            <w:r w:rsidRPr="00D15B02">
              <w:rPr>
                <w:lang w:val="en-ZA" w:eastAsia="ja-JP"/>
              </w:rPr>
              <w:t>Technology</w:t>
            </w:r>
            <w:r w:rsidRPr="00D15B02">
              <w:rPr>
                <w:rFonts w:hint="eastAsia"/>
                <w:lang w:val="en-ZA" w:eastAsia="ja-JP"/>
              </w:rPr>
              <w:t xml:space="preserve"> </w:t>
            </w:r>
            <w:r>
              <w:rPr>
                <w:rFonts w:hint="eastAsia"/>
                <w:lang w:val="en-ZA" w:eastAsia="ja-JP"/>
              </w:rPr>
              <w:t>(Technology 1)</w:t>
            </w:r>
            <w:r w:rsidRPr="00D15B02">
              <w:rPr>
                <w:lang w:val="en-ZA"/>
              </w:rPr>
              <w:t xml:space="preserve"> in year </w:t>
            </w:r>
            <w:r w:rsidRPr="00D15B02">
              <w:rPr>
                <w:i/>
                <w:lang w:val="en-ZA"/>
              </w:rPr>
              <w:t>y</w:t>
            </w:r>
            <w:r w:rsidRPr="00D15B02">
              <w:rPr>
                <w:lang w:val="en-ZA"/>
              </w:rPr>
              <w:t xml:space="preserve"> </w:t>
            </w:r>
            <w:r w:rsidRPr="00D15B02">
              <w:rPr>
                <w:rFonts w:hint="eastAsia"/>
                <w:lang w:val="en-ZA" w:eastAsia="ja-JP"/>
              </w:rPr>
              <w:t>(</w:t>
            </w:r>
            <w:r w:rsidRPr="00D15B02">
              <w:rPr>
                <w:rFonts w:ascii="TimesNewRomanPSMT" w:hAnsi="TimesNewRomanPSMT" w:cs="TimesNewRomanPSMT"/>
                <w:sz w:val="21"/>
                <w:szCs w:val="21"/>
                <w:lang w:val="en-US" w:eastAsia="ja-JP" w:bidi="km-KH"/>
              </w:rPr>
              <w:t>t</w:t>
            </w:r>
            <w:r w:rsidRPr="00D15B02">
              <w:rPr>
                <w:rFonts w:ascii="TimesNewRomanPSMT" w:hAnsi="TimesNewRomanPSMT" w:cs="TimesNewRomanPSMT" w:hint="eastAsia"/>
                <w:sz w:val="21"/>
                <w:szCs w:val="21"/>
                <w:lang w:val="en-US" w:eastAsia="ja-JP" w:bidi="km-KH"/>
              </w:rPr>
              <w:t>-</w:t>
            </w:r>
            <w:r w:rsidRPr="00D15B02">
              <w:rPr>
                <w:rFonts w:ascii="TimesNewRomanPSMT" w:hAnsi="TimesNewRomanPSMT" w:cs="TimesNewRomanPSMT"/>
                <w:sz w:val="21"/>
                <w:szCs w:val="21"/>
                <w:lang w:val="en-US" w:eastAsia="ja-JP" w:bidi="km-KH"/>
              </w:rPr>
              <w:t>CO</w:t>
            </w:r>
            <w:r w:rsidRPr="00D15B02">
              <w:rPr>
                <w:rFonts w:ascii="TimesNewRomanPSMT" w:hAnsi="TimesNewRomanPSMT" w:cs="TimesNewRomanPSMT"/>
                <w:sz w:val="14"/>
                <w:szCs w:val="14"/>
                <w:lang w:val="en-US" w:eastAsia="ja-JP" w:bidi="km-KH"/>
              </w:rPr>
              <w:t>2</w:t>
            </w:r>
            <w:r>
              <w:rPr>
                <w:rFonts w:ascii="TimesNewRomanPSMT" w:hAnsi="TimesNewRomanPSMT" w:cs="TimesNewRomanPSMT"/>
                <w:sz w:val="21"/>
                <w:szCs w:val="21"/>
                <w:lang w:val="en-US" w:eastAsia="ja-JP" w:bidi="km-KH"/>
              </w:rPr>
              <w:t>/</w:t>
            </w:r>
            <w:r>
              <w:rPr>
                <w:rFonts w:ascii="TimesNewRomanPSMT" w:hAnsi="TimesNewRomanPSMT" w:cs="TimesNewRomanPSMT" w:hint="eastAsia"/>
                <w:sz w:val="21"/>
                <w:szCs w:val="21"/>
                <w:lang w:val="en-US" w:eastAsia="ja-JP" w:bidi="km-KH"/>
              </w:rPr>
              <w:t>t-rice</w:t>
            </w:r>
            <w:r w:rsidRPr="00D15B02">
              <w:rPr>
                <w:rFonts w:ascii="TimesNewRomanPSMT" w:hAnsi="TimesNewRomanPSMT" w:cs="TimesNewRomanPSMT"/>
                <w:sz w:val="21"/>
                <w:szCs w:val="21"/>
                <w:lang w:val="en-US" w:eastAsia="ja-JP" w:bidi="km-KH"/>
              </w:rPr>
              <w:t>)</w:t>
            </w:r>
          </w:p>
        </w:tc>
      </w:tr>
      <w:tr w:rsidR="004D2653" w:rsidRPr="008B4228" w:rsidTr="001C26D2">
        <w:trPr>
          <w:trHeight w:val="332"/>
        </w:trPr>
        <w:tc>
          <w:tcPr>
            <w:tcW w:w="1484" w:type="dxa"/>
          </w:tcPr>
          <w:p w:rsidR="004D2653" w:rsidRPr="00D15B02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i/>
                <w:lang w:val="en-ZA" w:eastAsia="ja-JP"/>
              </w:rPr>
            </w:pPr>
            <w:r w:rsidRPr="00D15B02">
              <w:t>DC</w:t>
            </w:r>
            <w:r w:rsidRPr="00624AD8">
              <w:rPr>
                <w:i/>
                <w:iCs/>
              </w:rPr>
              <w:t xml:space="preserve"> </w:t>
            </w:r>
            <w:proofErr w:type="spellStart"/>
            <w:r w:rsidRPr="00624AD8">
              <w:rPr>
                <w:rFonts w:hint="eastAsia"/>
                <w:i/>
                <w:iCs/>
                <w:vertAlign w:val="subscript"/>
                <w:lang w:eastAsia="ja-JP"/>
              </w:rPr>
              <w:t>m,y</w:t>
            </w:r>
            <w:proofErr w:type="spellEnd"/>
          </w:p>
        </w:tc>
        <w:tc>
          <w:tcPr>
            <w:tcW w:w="7583" w:type="dxa"/>
          </w:tcPr>
          <w:p w:rsidR="004D2653" w:rsidRPr="00D15B02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lang w:val="en-ZA" w:eastAsia="ja-JP"/>
              </w:rPr>
            </w:pPr>
            <w:r>
              <w:rPr>
                <w:rFonts w:hint="eastAsia"/>
                <w:lang w:eastAsia="ja-JP"/>
              </w:rPr>
              <w:t>Q</w:t>
            </w:r>
            <w:r w:rsidRPr="00D15B02">
              <w:rPr>
                <w:rFonts w:eastAsia="ＭＳ Ｐゴシック"/>
                <w:color w:val="000000"/>
              </w:rPr>
              <w:t xml:space="preserve">uantity of diesel consumption </w:t>
            </w:r>
            <w:r w:rsidRPr="00D15B02">
              <w:rPr>
                <w:rFonts w:eastAsia="ＭＳ Ｐゴシック" w:hint="eastAsia"/>
                <w:color w:val="000000"/>
                <w:lang w:eastAsia="ja-JP"/>
              </w:rPr>
              <w:t xml:space="preserve">in rice </w:t>
            </w:r>
            <w:r>
              <w:rPr>
                <w:rFonts w:eastAsia="ＭＳ Ｐゴシック" w:hint="eastAsia"/>
                <w:color w:val="000000"/>
                <w:lang w:eastAsia="ja-JP"/>
              </w:rPr>
              <w:t xml:space="preserve">mill </w:t>
            </w:r>
            <w:r w:rsidRPr="00A6421A">
              <w:rPr>
                <w:rFonts w:eastAsia="ＭＳ Ｐゴシック" w:hint="eastAsia"/>
                <w:i/>
                <w:iCs/>
                <w:color w:val="000000"/>
                <w:lang w:eastAsia="ja-JP"/>
              </w:rPr>
              <w:t>m</w:t>
            </w:r>
            <w:r>
              <w:rPr>
                <w:rFonts w:eastAsia="ＭＳ Ｐゴシック" w:hint="eastAsia"/>
                <w:color w:val="000000"/>
                <w:lang w:eastAsia="ja-JP"/>
              </w:rPr>
              <w:t xml:space="preserve"> </w:t>
            </w:r>
            <w:r w:rsidRPr="0005091E">
              <w:rPr>
                <w:rFonts w:eastAsia="ＭＳ Ｐゴシック" w:hint="eastAsia"/>
                <w:color w:val="000000"/>
                <w:lang w:eastAsia="ja-JP"/>
              </w:rPr>
              <w:t xml:space="preserve">in year </w:t>
            </w:r>
            <w:r>
              <w:rPr>
                <w:rFonts w:eastAsia="ＭＳ Ｐゴシック" w:hint="eastAsia"/>
                <w:i/>
                <w:iCs/>
                <w:color w:val="000000"/>
                <w:lang w:eastAsia="ja-JP"/>
              </w:rPr>
              <w:t xml:space="preserve">y </w:t>
            </w:r>
            <w:r>
              <w:rPr>
                <w:rFonts w:eastAsia="ＭＳ Ｐゴシック" w:hint="eastAsia"/>
                <w:color w:val="000000"/>
                <w:lang w:eastAsia="ja-JP"/>
              </w:rPr>
              <w:t>(l)</w:t>
            </w:r>
          </w:p>
        </w:tc>
      </w:tr>
      <w:tr w:rsidR="004D2653" w:rsidRPr="008B4228" w:rsidTr="001C26D2">
        <w:trPr>
          <w:trHeight w:val="332"/>
        </w:trPr>
        <w:tc>
          <w:tcPr>
            <w:tcW w:w="1484" w:type="dxa"/>
          </w:tcPr>
          <w:p w:rsidR="004D2653" w:rsidRPr="00D15B02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lang w:eastAsia="ja-JP"/>
              </w:rPr>
            </w:pPr>
            <w:r w:rsidRPr="00D15B02">
              <w:rPr>
                <w:rFonts w:hint="eastAsia"/>
                <w:lang w:eastAsia="ja-JP"/>
              </w:rPr>
              <w:t>DD</w:t>
            </w:r>
          </w:p>
        </w:tc>
        <w:tc>
          <w:tcPr>
            <w:tcW w:w="7583" w:type="dxa"/>
          </w:tcPr>
          <w:p w:rsidR="004D2653" w:rsidRPr="00D15B02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lang w:val="en-ZA" w:eastAsia="ja-JP"/>
              </w:rPr>
            </w:pPr>
            <w:r w:rsidRPr="00D15B02">
              <w:rPr>
                <w:rFonts w:eastAsia="ＭＳ Ｐゴシック"/>
                <w:color w:val="000000"/>
              </w:rPr>
              <w:t xml:space="preserve">Density </w:t>
            </w:r>
            <w:r>
              <w:rPr>
                <w:rFonts w:eastAsia="ＭＳ Ｐゴシック"/>
                <w:color w:val="000000"/>
              </w:rPr>
              <w:t>of diesel (0.8</w:t>
            </w:r>
            <w:r>
              <w:rPr>
                <w:rFonts w:eastAsia="ＭＳ Ｐゴシック" w:hint="eastAsia"/>
                <w:color w:val="000000"/>
                <w:lang w:eastAsia="ja-JP"/>
              </w:rPr>
              <w:t xml:space="preserve">439 </w:t>
            </w:r>
            <w:r>
              <w:rPr>
                <w:rFonts w:eastAsia="ＭＳ Ｐゴシック"/>
                <w:color w:val="000000"/>
              </w:rPr>
              <w:t>kg/</w:t>
            </w:r>
            <w:r>
              <w:rPr>
                <w:rFonts w:eastAsia="ＭＳ Ｐゴシック" w:hint="eastAsia"/>
                <w:color w:val="000000"/>
                <w:lang w:eastAsia="ja-JP"/>
              </w:rPr>
              <w:t>l (</w:t>
            </w:r>
            <w:r w:rsidRPr="00710754">
              <w:rPr>
                <w:rFonts w:eastAsia="ＭＳ 明朝"/>
              </w:rPr>
              <w:t>International Energy Agency</w:t>
            </w:r>
            <w:r w:rsidDel="00A11B7B">
              <w:rPr>
                <w:rFonts w:eastAsia="ＭＳ Ｐゴシック" w:hint="eastAsia"/>
                <w:color w:val="000000"/>
                <w:lang w:eastAsia="ja-JP"/>
              </w:rPr>
              <w:t xml:space="preserve"> </w:t>
            </w:r>
            <w:r>
              <w:rPr>
                <w:rFonts w:eastAsia="ＭＳ Ｐゴシック" w:hint="eastAsia"/>
                <w:color w:val="000000"/>
                <w:lang w:eastAsia="ja-JP"/>
              </w:rPr>
              <w:t xml:space="preserve"> et al, 2004)</w:t>
            </w:r>
            <w:r w:rsidRPr="00D15B02">
              <w:rPr>
                <w:rFonts w:eastAsia="ＭＳ Ｐゴシック"/>
                <w:color w:val="000000"/>
              </w:rPr>
              <w:t>)</w:t>
            </w:r>
          </w:p>
        </w:tc>
      </w:tr>
      <w:tr w:rsidR="004D2653" w:rsidRPr="008B4228" w:rsidTr="001C26D2">
        <w:trPr>
          <w:trHeight w:val="332"/>
        </w:trPr>
        <w:tc>
          <w:tcPr>
            <w:tcW w:w="1484" w:type="dxa"/>
          </w:tcPr>
          <w:p w:rsidR="004D2653" w:rsidRPr="00D15B02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i/>
                <w:lang w:val="en-ZA" w:eastAsia="ja-JP"/>
              </w:rPr>
            </w:pPr>
            <w:r w:rsidRPr="00D15B02">
              <w:rPr>
                <w:rFonts w:eastAsia="ＭＳ Ｐゴシック"/>
                <w:color w:val="000000"/>
              </w:rPr>
              <w:t>EF</w:t>
            </w:r>
            <w:r w:rsidRPr="00624AD8">
              <w:rPr>
                <w:rFonts w:eastAsia="ＭＳ Ｐゴシック"/>
                <w:i/>
                <w:iCs/>
                <w:color w:val="000000"/>
              </w:rPr>
              <w:t xml:space="preserve"> </w:t>
            </w:r>
            <w:r w:rsidRPr="00624AD8">
              <w:rPr>
                <w:rFonts w:eastAsia="ＭＳ Ｐゴシック"/>
                <w:i/>
                <w:iCs/>
                <w:color w:val="000000"/>
                <w:vertAlign w:val="subscript"/>
              </w:rPr>
              <w:t>CO2</w:t>
            </w:r>
            <w:r w:rsidRPr="00624AD8">
              <w:rPr>
                <w:rFonts w:eastAsia="ＭＳ Ｐゴシック" w:hint="eastAsia"/>
                <w:i/>
                <w:iCs/>
                <w:color w:val="000000"/>
                <w:vertAlign w:val="subscript"/>
                <w:lang w:eastAsia="ja-JP"/>
              </w:rPr>
              <w:t>,</w:t>
            </w:r>
            <w:r w:rsidRPr="00624AD8">
              <w:rPr>
                <w:rFonts w:eastAsia="ＭＳ Ｐゴシック"/>
                <w:i/>
                <w:iCs/>
                <w:color w:val="000000"/>
                <w:vertAlign w:val="subscript"/>
              </w:rPr>
              <w:t>diesel</w:t>
            </w:r>
          </w:p>
        </w:tc>
        <w:tc>
          <w:tcPr>
            <w:tcW w:w="7583" w:type="dxa"/>
          </w:tcPr>
          <w:p w:rsidR="004D2653" w:rsidRPr="00D15B02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lang w:val="en-ZA" w:eastAsia="ja-JP"/>
              </w:rPr>
            </w:pPr>
            <w:r w:rsidRPr="00D15B02">
              <w:rPr>
                <w:rFonts w:eastAsia="ＭＳ Ｐゴシック"/>
                <w:color w:val="000000"/>
              </w:rPr>
              <w:t>CO</w:t>
            </w:r>
            <w:r w:rsidRPr="00A6421A">
              <w:rPr>
                <w:rFonts w:eastAsia="ＭＳ Ｐゴシック"/>
                <w:color w:val="000000"/>
                <w:vertAlign w:val="subscript"/>
              </w:rPr>
              <w:t>2</w:t>
            </w:r>
            <w:r w:rsidRPr="00D15B02">
              <w:rPr>
                <w:rFonts w:eastAsia="ＭＳ Ｐゴシック"/>
                <w:color w:val="000000"/>
              </w:rPr>
              <w:t xml:space="preserve"> emis</w:t>
            </w:r>
            <w:r>
              <w:rPr>
                <w:rFonts w:eastAsia="ＭＳ Ｐゴシック"/>
                <w:color w:val="000000"/>
              </w:rPr>
              <w:t xml:space="preserve">sion factor of diesel </w:t>
            </w:r>
            <w:proofErr w:type="gramStart"/>
            <w:r>
              <w:rPr>
                <w:rFonts w:eastAsia="ＭＳ Ｐゴシック"/>
                <w:color w:val="000000"/>
              </w:rPr>
              <w:t>(</w:t>
            </w:r>
            <w:r>
              <w:rPr>
                <w:rFonts w:eastAsia="ＭＳ Ｐゴシック" w:hint="eastAsia"/>
                <w:color w:val="000000"/>
                <w:lang w:eastAsia="ja-JP"/>
              </w:rPr>
              <w:t>3.2kg-CO</w:t>
            </w:r>
            <w:r w:rsidRPr="00C072D4">
              <w:rPr>
                <w:rFonts w:eastAsia="ＭＳ Ｐゴシック" w:hint="eastAsia"/>
                <w:color w:val="000000"/>
                <w:vertAlign w:val="subscript"/>
                <w:lang w:eastAsia="ja-JP"/>
              </w:rPr>
              <w:t xml:space="preserve">2 </w:t>
            </w:r>
            <w:r>
              <w:rPr>
                <w:rFonts w:eastAsia="ＭＳ Ｐゴシック" w:hint="eastAsia"/>
                <w:color w:val="000000"/>
                <w:lang w:eastAsia="ja-JP"/>
              </w:rPr>
              <w:t>per kg of diesel</w:t>
            </w:r>
            <w:r w:rsidRPr="00D15B02">
              <w:rPr>
                <w:rFonts w:eastAsia="ＭＳ Ｐゴシック"/>
                <w:color w:val="000000"/>
              </w:rPr>
              <w:t xml:space="preserve">, </w:t>
            </w:r>
            <w:r>
              <w:rPr>
                <w:rFonts w:eastAsia="ＭＳ Ｐゴシック" w:hint="eastAsia"/>
                <w:color w:val="000000"/>
                <w:lang w:eastAsia="ja-JP"/>
              </w:rPr>
              <w:t>AMS-I.B.</w:t>
            </w:r>
            <w:r w:rsidRPr="00D15B02">
              <w:rPr>
                <w:rFonts w:eastAsia="ＭＳ Ｐゴシック"/>
                <w:color w:val="000000"/>
              </w:rPr>
              <w:t>)</w:t>
            </w:r>
            <w:proofErr w:type="gramEnd"/>
          </w:p>
        </w:tc>
      </w:tr>
      <w:tr w:rsidR="004D2653" w:rsidRPr="008B4228" w:rsidTr="001C26D2">
        <w:trPr>
          <w:trHeight w:val="332"/>
        </w:trPr>
        <w:tc>
          <w:tcPr>
            <w:tcW w:w="1484" w:type="dxa"/>
          </w:tcPr>
          <w:p w:rsidR="004D2653" w:rsidRPr="00D15B02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MR</w:t>
            </w:r>
            <w:r w:rsidRPr="00624AD8">
              <w:rPr>
                <w:rFonts w:hint="eastAsia"/>
                <w:i/>
                <w:iCs/>
                <w:lang w:eastAsia="ja-JP"/>
              </w:rPr>
              <w:t xml:space="preserve"> </w:t>
            </w:r>
            <w:r w:rsidRPr="00624AD8">
              <w:rPr>
                <w:rFonts w:hint="eastAsia"/>
                <w:i/>
                <w:iCs/>
                <w:vertAlign w:val="subscript"/>
                <w:lang w:eastAsia="ja-JP"/>
              </w:rPr>
              <w:t>m, y</w:t>
            </w:r>
          </w:p>
        </w:tc>
        <w:tc>
          <w:tcPr>
            <w:tcW w:w="7583" w:type="dxa"/>
          </w:tcPr>
          <w:p w:rsidR="004D2653" w:rsidRPr="006348D0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rFonts w:eastAsia="ＭＳ Ｐゴシック"/>
                <w:color w:val="000000"/>
                <w:lang w:eastAsia="ja-JP"/>
              </w:rPr>
            </w:pPr>
            <w:r w:rsidRPr="007415BE">
              <w:t xml:space="preserve">Quantity of milled rice production </w:t>
            </w:r>
            <w:r>
              <w:rPr>
                <w:rFonts w:hint="eastAsia"/>
                <w:lang w:eastAsia="ja-JP"/>
              </w:rPr>
              <w:t xml:space="preserve">in rice mill </w:t>
            </w:r>
            <w:r w:rsidRPr="006348D0">
              <w:rPr>
                <w:rFonts w:hint="eastAsia"/>
                <w:i/>
                <w:iCs/>
                <w:lang w:eastAsia="ja-JP"/>
              </w:rPr>
              <w:t xml:space="preserve">m </w:t>
            </w:r>
            <w:r w:rsidRPr="007415BE">
              <w:t>in</w:t>
            </w:r>
            <w:r>
              <w:rPr>
                <w:rFonts w:hint="eastAsia"/>
                <w:lang w:eastAsia="ja-JP"/>
              </w:rPr>
              <w:t xml:space="preserve"> year</w:t>
            </w:r>
            <w:r w:rsidRPr="006348D0">
              <w:rPr>
                <w:rFonts w:hint="eastAsia"/>
                <w:i/>
                <w:iCs/>
                <w:lang w:eastAsia="ja-JP"/>
              </w:rPr>
              <w:t xml:space="preserve"> y</w:t>
            </w:r>
          </w:p>
        </w:tc>
      </w:tr>
      <w:tr w:rsidR="004D2653" w:rsidRPr="008B4228" w:rsidTr="001C26D2">
        <w:trPr>
          <w:trHeight w:val="332"/>
        </w:trPr>
        <w:tc>
          <w:tcPr>
            <w:tcW w:w="1484" w:type="dxa"/>
          </w:tcPr>
          <w:p w:rsidR="004D2653" w:rsidRPr="00DB6C5B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i/>
                <w:iCs/>
                <w:lang w:eastAsia="ja-JP"/>
              </w:rPr>
            </w:pPr>
            <w:r>
              <w:rPr>
                <w:rFonts w:hint="eastAsia"/>
                <w:i/>
                <w:iCs/>
                <w:lang w:eastAsia="ja-JP"/>
              </w:rPr>
              <w:t>m</w:t>
            </w:r>
          </w:p>
        </w:tc>
        <w:tc>
          <w:tcPr>
            <w:tcW w:w="7583" w:type="dxa"/>
          </w:tcPr>
          <w:p w:rsidR="004D2653" w:rsidRPr="00DB6C5B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</w:pPr>
            <w:r>
              <w:rPr>
                <w:rFonts w:ascii="TimesNewRomanPSMT" w:hAnsi="TimesNewRomanPSMT" w:cs="TimesNewRomanPSMT" w:hint="eastAsia"/>
                <w:sz w:val="21"/>
                <w:szCs w:val="21"/>
                <w:lang w:val="en-US" w:eastAsia="ja-JP" w:bidi="km-KH"/>
              </w:rPr>
              <w:t>R</w:t>
            </w:r>
            <w:r w:rsidRPr="00DB6C5B">
              <w:rPr>
                <w:rFonts w:ascii="TimesNewRomanPSMT" w:hAnsi="TimesNewRomanPSMT" w:cs="TimesNewRomanPSMT" w:hint="eastAsia"/>
                <w:sz w:val="21"/>
                <w:szCs w:val="21"/>
                <w:lang w:val="en-US" w:eastAsia="ja-JP" w:bidi="km-KH"/>
              </w:rPr>
              <w:t>i</w:t>
            </w:r>
            <w:r>
              <w:rPr>
                <w:rFonts w:ascii="TimesNewRomanPSMT" w:hAnsi="TimesNewRomanPSMT" w:cs="TimesNewRomanPSMT" w:hint="eastAsia"/>
                <w:sz w:val="21"/>
                <w:szCs w:val="21"/>
                <w:lang w:val="en-US" w:eastAsia="ja-JP" w:bidi="km-KH"/>
              </w:rPr>
              <w:t>ce mill adopting Baseline Technology</w:t>
            </w:r>
          </w:p>
        </w:tc>
      </w:tr>
      <w:tr w:rsidR="004D2653" w:rsidRPr="008B4228" w:rsidTr="001C26D2">
        <w:trPr>
          <w:trHeight w:val="87"/>
        </w:trPr>
        <w:tc>
          <w:tcPr>
            <w:tcW w:w="1484" w:type="dxa"/>
          </w:tcPr>
          <w:p w:rsidR="004D2653" w:rsidRPr="00DB6C5B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i/>
                <w:iCs/>
                <w:lang w:eastAsia="ja-JP"/>
              </w:rPr>
            </w:pPr>
            <w:r w:rsidRPr="00DB6C5B">
              <w:rPr>
                <w:rFonts w:hint="eastAsia"/>
                <w:i/>
                <w:iCs/>
                <w:lang w:eastAsia="ja-JP"/>
              </w:rPr>
              <w:t>y</w:t>
            </w:r>
          </w:p>
        </w:tc>
        <w:tc>
          <w:tcPr>
            <w:tcW w:w="7583" w:type="dxa"/>
          </w:tcPr>
          <w:p w:rsidR="004D2653" w:rsidRPr="00DB6C5B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</w:pPr>
            <w:r w:rsidRPr="00DB6C5B">
              <w:rPr>
                <w:rFonts w:ascii="TimesNewRomanPSMT" w:hAnsi="TimesNewRomanPSMT" w:cs="TimesNewRomanPSMT"/>
                <w:sz w:val="21"/>
                <w:szCs w:val="21"/>
                <w:lang w:val="en-US" w:eastAsia="ja-JP" w:bidi="km-KH"/>
              </w:rPr>
              <w:t>The relevant year</w:t>
            </w:r>
            <w:r w:rsidRPr="00DB6C5B">
              <w:rPr>
                <w:rFonts w:ascii="TimesNewRomanPSMT" w:hAnsi="TimesNewRomanPSMT" w:cs="TimesNewRomanPSMT" w:hint="eastAsia"/>
                <w:sz w:val="21"/>
                <w:szCs w:val="21"/>
                <w:lang w:val="en-US" w:eastAsia="ja-JP" w:bidi="km-KH"/>
              </w:rPr>
              <w:t xml:space="preserve"> </w:t>
            </w:r>
          </w:p>
        </w:tc>
      </w:tr>
      <w:tr w:rsidR="004D2653" w:rsidRPr="008B4228" w:rsidTr="001C26D2">
        <w:trPr>
          <w:trHeight w:val="87"/>
        </w:trPr>
        <w:tc>
          <w:tcPr>
            <w:tcW w:w="1484" w:type="dxa"/>
          </w:tcPr>
          <w:p w:rsidR="004D2653" w:rsidRPr="00DB6C5B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i/>
                <w:iCs/>
                <w:lang w:eastAsia="ja-JP"/>
              </w:rPr>
            </w:pPr>
          </w:p>
        </w:tc>
        <w:tc>
          <w:tcPr>
            <w:tcW w:w="7583" w:type="dxa"/>
          </w:tcPr>
          <w:p w:rsidR="004D2653" w:rsidRPr="00DB6C5B" w:rsidRDefault="004D2653" w:rsidP="001C26D2">
            <w:pPr>
              <w:pStyle w:val="RegPara"/>
              <w:numPr>
                <w:ilvl w:val="0"/>
                <w:numId w:val="0"/>
              </w:numPr>
              <w:spacing w:before="0"/>
              <w:jc w:val="both"/>
              <w:rPr>
                <w:lang w:eastAsia="ja-JP"/>
              </w:rPr>
            </w:pPr>
          </w:p>
        </w:tc>
      </w:tr>
    </w:tbl>
    <w:p w:rsidR="004D2653" w:rsidRDefault="004D2653">
      <w:pPr>
        <w:rPr>
          <w:rFonts w:hint="eastAsia"/>
        </w:rPr>
      </w:pPr>
    </w:p>
    <w:p w:rsidR="004D2653" w:rsidRPr="004D2653" w:rsidRDefault="004D2653">
      <w:r w:rsidRPr="004D2653">
        <w:drawing>
          <wp:inline distT="0" distB="0" distL="0" distR="0">
            <wp:extent cx="5400040" cy="3551757"/>
            <wp:effectExtent l="19050" t="0" r="10160" b="0"/>
            <wp:docPr id="2" name="グラフ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4D2653" w:rsidRPr="004D2653" w:rsidSect="004D2653">
      <w:pgSz w:w="11906" w:h="16838"/>
      <w:pgMar w:top="709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523F4"/>
    <w:multiLevelType w:val="multilevel"/>
    <w:tmpl w:val="44888FF4"/>
    <w:lvl w:ilvl="0">
      <w:start w:val="1"/>
      <w:numFmt w:val="upperRoman"/>
      <w:pStyle w:val="RegHead1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pStyle w:val="RegHead2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pStyle w:val="RegHead3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pStyle w:val="RegPara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1">
    <w:nsid w:val="1650370D"/>
    <w:multiLevelType w:val="multilevel"/>
    <w:tmpl w:val="9AEA799A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rFonts w:hint="default"/>
        <w:sz w:val="28"/>
      </w:rPr>
    </w:lvl>
    <w:lvl w:ilvl="1">
      <w:start w:val="1"/>
      <w:numFmt w:val="decimal"/>
      <w:pStyle w:val="AnnoHead2"/>
      <w:suff w:val="space"/>
      <w:lvlText w:val="%2. "/>
      <w:lvlJc w:val="left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lowerLetter"/>
      <w:pStyle w:val="AnnoHead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  <w:sz w:val="22"/>
        <w:u w:val="none"/>
      </w:rPr>
    </w:lvl>
    <w:lvl w:ilvl="4">
      <w:start w:val="1"/>
      <w:numFmt w:val="decimal"/>
      <w:pStyle w:val="AnnoPara"/>
      <w:lvlText w:val="%5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2653"/>
    <w:rsid w:val="000025F7"/>
    <w:rsid w:val="0004290E"/>
    <w:rsid w:val="00047661"/>
    <w:rsid w:val="000763D3"/>
    <w:rsid w:val="000A2C22"/>
    <w:rsid w:val="000E58B9"/>
    <w:rsid w:val="0011302F"/>
    <w:rsid w:val="00124B6E"/>
    <w:rsid w:val="001257F9"/>
    <w:rsid w:val="001358B5"/>
    <w:rsid w:val="00182D14"/>
    <w:rsid w:val="001846DC"/>
    <w:rsid w:val="00197AE0"/>
    <w:rsid w:val="001B775F"/>
    <w:rsid w:val="002123B0"/>
    <w:rsid w:val="0021516E"/>
    <w:rsid w:val="0024289A"/>
    <w:rsid w:val="00243A97"/>
    <w:rsid w:val="002554CD"/>
    <w:rsid w:val="0026015E"/>
    <w:rsid w:val="0027286D"/>
    <w:rsid w:val="00274A64"/>
    <w:rsid w:val="00287533"/>
    <w:rsid w:val="0029032F"/>
    <w:rsid w:val="002C245E"/>
    <w:rsid w:val="002D2B75"/>
    <w:rsid w:val="002E6D96"/>
    <w:rsid w:val="002F628D"/>
    <w:rsid w:val="003000AE"/>
    <w:rsid w:val="003134A0"/>
    <w:rsid w:val="003137CA"/>
    <w:rsid w:val="00344FEE"/>
    <w:rsid w:val="0035487A"/>
    <w:rsid w:val="0035777C"/>
    <w:rsid w:val="00360E8B"/>
    <w:rsid w:val="00393A1A"/>
    <w:rsid w:val="003D4949"/>
    <w:rsid w:val="00421DAD"/>
    <w:rsid w:val="00464F4C"/>
    <w:rsid w:val="00473044"/>
    <w:rsid w:val="00482429"/>
    <w:rsid w:val="004841A5"/>
    <w:rsid w:val="00487379"/>
    <w:rsid w:val="00495E6A"/>
    <w:rsid w:val="004A27B8"/>
    <w:rsid w:val="004A2E90"/>
    <w:rsid w:val="004A74DF"/>
    <w:rsid w:val="004B26A6"/>
    <w:rsid w:val="004D2653"/>
    <w:rsid w:val="004E6CA2"/>
    <w:rsid w:val="004E789E"/>
    <w:rsid w:val="005127A4"/>
    <w:rsid w:val="0052448A"/>
    <w:rsid w:val="005257BF"/>
    <w:rsid w:val="00525A3C"/>
    <w:rsid w:val="00546181"/>
    <w:rsid w:val="00550DD8"/>
    <w:rsid w:val="00554ABB"/>
    <w:rsid w:val="005704DF"/>
    <w:rsid w:val="005E2DEB"/>
    <w:rsid w:val="005E373E"/>
    <w:rsid w:val="005F135B"/>
    <w:rsid w:val="005F7578"/>
    <w:rsid w:val="00616F16"/>
    <w:rsid w:val="006613CB"/>
    <w:rsid w:val="00671037"/>
    <w:rsid w:val="006B4596"/>
    <w:rsid w:val="006C4E54"/>
    <w:rsid w:val="006E313B"/>
    <w:rsid w:val="006E4270"/>
    <w:rsid w:val="00707EAB"/>
    <w:rsid w:val="007231F9"/>
    <w:rsid w:val="00781580"/>
    <w:rsid w:val="00791CCA"/>
    <w:rsid w:val="00792653"/>
    <w:rsid w:val="007B1228"/>
    <w:rsid w:val="007C4262"/>
    <w:rsid w:val="007C7DD3"/>
    <w:rsid w:val="007D6BE9"/>
    <w:rsid w:val="00823ED7"/>
    <w:rsid w:val="00826584"/>
    <w:rsid w:val="008575A0"/>
    <w:rsid w:val="00867FD6"/>
    <w:rsid w:val="00881020"/>
    <w:rsid w:val="00897D82"/>
    <w:rsid w:val="008B2288"/>
    <w:rsid w:val="008E5534"/>
    <w:rsid w:val="008F249E"/>
    <w:rsid w:val="0090119C"/>
    <w:rsid w:val="00902C2D"/>
    <w:rsid w:val="00930C09"/>
    <w:rsid w:val="009523D2"/>
    <w:rsid w:val="0097123A"/>
    <w:rsid w:val="00974AC4"/>
    <w:rsid w:val="00982046"/>
    <w:rsid w:val="009911A8"/>
    <w:rsid w:val="009C272F"/>
    <w:rsid w:val="009C373A"/>
    <w:rsid w:val="009F116F"/>
    <w:rsid w:val="009F7061"/>
    <w:rsid w:val="00A012A1"/>
    <w:rsid w:val="00A06928"/>
    <w:rsid w:val="00A0702A"/>
    <w:rsid w:val="00A20CBD"/>
    <w:rsid w:val="00A36A92"/>
    <w:rsid w:val="00A82819"/>
    <w:rsid w:val="00A96481"/>
    <w:rsid w:val="00A97F5A"/>
    <w:rsid w:val="00AA59B9"/>
    <w:rsid w:val="00AB7158"/>
    <w:rsid w:val="00AC5D79"/>
    <w:rsid w:val="00AE4538"/>
    <w:rsid w:val="00B1153F"/>
    <w:rsid w:val="00B210D3"/>
    <w:rsid w:val="00B26A49"/>
    <w:rsid w:val="00B30D44"/>
    <w:rsid w:val="00B61423"/>
    <w:rsid w:val="00B632D2"/>
    <w:rsid w:val="00B810B1"/>
    <w:rsid w:val="00B81A27"/>
    <w:rsid w:val="00B92770"/>
    <w:rsid w:val="00BA302A"/>
    <w:rsid w:val="00BA35C0"/>
    <w:rsid w:val="00BB02C7"/>
    <w:rsid w:val="00BC7B98"/>
    <w:rsid w:val="00BD61A6"/>
    <w:rsid w:val="00BE4312"/>
    <w:rsid w:val="00C00932"/>
    <w:rsid w:val="00C01C9C"/>
    <w:rsid w:val="00C100F8"/>
    <w:rsid w:val="00C12FEC"/>
    <w:rsid w:val="00C22A9A"/>
    <w:rsid w:val="00C52F9C"/>
    <w:rsid w:val="00C53229"/>
    <w:rsid w:val="00C81DAE"/>
    <w:rsid w:val="00CA12BC"/>
    <w:rsid w:val="00CA160A"/>
    <w:rsid w:val="00CA31AD"/>
    <w:rsid w:val="00CC635D"/>
    <w:rsid w:val="00CD1FA1"/>
    <w:rsid w:val="00CE05C5"/>
    <w:rsid w:val="00CE22F4"/>
    <w:rsid w:val="00CF67F4"/>
    <w:rsid w:val="00D012CB"/>
    <w:rsid w:val="00D17C61"/>
    <w:rsid w:val="00D20882"/>
    <w:rsid w:val="00D32190"/>
    <w:rsid w:val="00D458E7"/>
    <w:rsid w:val="00D603CD"/>
    <w:rsid w:val="00D730E5"/>
    <w:rsid w:val="00D81730"/>
    <w:rsid w:val="00D86235"/>
    <w:rsid w:val="00D93BB7"/>
    <w:rsid w:val="00DA25D7"/>
    <w:rsid w:val="00DB7B99"/>
    <w:rsid w:val="00DD14E1"/>
    <w:rsid w:val="00E06ED6"/>
    <w:rsid w:val="00E374D0"/>
    <w:rsid w:val="00E81F83"/>
    <w:rsid w:val="00EA6B36"/>
    <w:rsid w:val="00EC0528"/>
    <w:rsid w:val="00ED0713"/>
    <w:rsid w:val="00F114A6"/>
    <w:rsid w:val="00F15A8A"/>
    <w:rsid w:val="00F23050"/>
    <w:rsid w:val="00F26DA5"/>
    <w:rsid w:val="00F40A18"/>
    <w:rsid w:val="00F53FBF"/>
    <w:rsid w:val="00F56036"/>
    <w:rsid w:val="00F56790"/>
    <w:rsid w:val="00F65C61"/>
    <w:rsid w:val="00F67A4C"/>
    <w:rsid w:val="00FB0916"/>
    <w:rsid w:val="00FC4AFA"/>
    <w:rsid w:val="00FF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36"/>
        <w:lang w:val="en-US" w:eastAsia="ja-JP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gHead2">
    <w:name w:val="RegHead2"/>
    <w:basedOn w:val="a"/>
    <w:next w:val="RegHead3"/>
    <w:rsid w:val="004D2653"/>
    <w:pPr>
      <w:keepNext/>
      <w:widowControl/>
      <w:numPr>
        <w:ilvl w:val="1"/>
        <w:numId w:val="2"/>
      </w:numPr>
      <w:spacing w:before="180"/>
      <w:jc w:val="center"/>
    </w:pPr>
    <w:rPr>
      <w:rFonts w:ascii="Times New Roman" w:hAnsi="Times New Roman" w:cs="Times New Roman"/>
      <w:b/>
      <w:kern w:val="0"/>
      <w:sz w:val="22"/>
      <w:szCs w:val="20"/>
      <w:lang w:val="en-GB" w:eastAsia="de-DE" w:bidi="ar-SA"/>
    </w:rPr>
  </w:style>
  <w:style w:type="paragraph" w:customStyle="1" w:styleId="RegHead1">
    <w:name w:val="RegHead1"/>
    <w:basedOn w:val="a"/>
    <w:next w:val="RegHead2"/>
    <w:rsid w:val="004D2653"/>
    <w:pPr>
      <w:keepNext/>
      <w:widowControl/>
      <w:numPr>
        <w:numId w:val="2"/>
      </w:numPr>
      <w:spacing w:before="180"/>
      <w:jc w:val="center"/>
    </w:pPr>
    <w:rPr>
      <w:rFonts w:ascii="Times New Roman" w:hAnsi="Times New Roman" w:cs="Times New Roman"/>
      <w:b/>
      <w:kern w:val="0"/>
      <w:sz w:val="28"/>
      <w:szCs w:val="20"/>
      <w:lang w:val="en-GB" w:eastAsia="de-DE" w:bidi="ar-SA"/>
    </w:rPr>
  </w:style>
  <w:style w:type="paragraph" w:customStyle="1" w:styleId="RegHead3">
    <w:name w:val="RegHead3"/>
    <w:basedOn w:val="a"/>
    <w:next w:val="RegPara"/>
    <w:rsid w:val="004D2653"/>
    <w:pPr>
      <w:widowControl/>
      <w:numPr>
        <w:ilvl w:val="2"/>
        <w:numId w:val="2"/>
      </w:numPr>
      <w:spacing w:before="180"/>
      <w:jc w:val="center"/>
    </w:pPr>
    <w:rPr>
      <w:rFonts w:ascii="Times New Roman" w:hAnsi="Times New Roman" w:cs="Times New Roman"/>
      <w:kern w:val="0"/>
      <w:sz w:val="22"/>
      <w:szCs w:val="20"/>
      <w:u w:val="single"/>
      <w:lang w:val="en-GB" w:eastAsia="de-DE" w:bidi="ar-SA"/>
    </w:rPr>
  </w:style>
  <w:style w:type="paragraph" w:customStyle="1" w:styleId="RegPara">
    <w:name w:val="RegPara"/>
    <w:basedOn w:val="a"/>
    <w:link w:val="RegParaChar"/>
    <w:rsid w:val="004D2653"/>
    <w:pPr>
      <w:widowControl/>
      <w:numPr>
        <w:ilvl w:val="3"/>
        <w:numId w:val="2"/>
      </w:numPr>
      <w:spacing w:before="180"/>
      <w:jc w:val="left"/>
    </w:pPr>
    <w:rPr>
      <w:rFonts w:ascii="Times New Roman" w:hAnsi="Times New Roman" w:cs="Times New Roman"/>
      <w:kern w:val="0"/>
      <w:sz w:val="22"/>
      <w:szCs w:val="20"/>
      <w:lang w:val="en-GB" w:eastAsia="de-DE" w:bidi="ar-SA"/>
    </w:rPr>
  </w:style>
  <w:style w:type="paragraph" w:customStyle="1" w:styleId="AnnoPara">
    <w:name w:val="AnnoPara"/>
    <w:basedOn w:val="a"/>
    <w:rsid w:val="004D2653"/>
    <w:pPr>
      <w:widowControl/>
      <w:numPr>
        <w:ilvl w:val="4"/>
        <w:numId w:val="1"/>
      </w:numPr>
      <w:spacing w:before="180"/>
      <w:jc w:val="left"/>
    </w:pPr>
    <w:rPr>
      <w:rFonts w:ascii="Times New Roman" w:hAnsi="Times New Roman" w:cs="Times New Roman"/>
      <w:kern w:val="0"/>
      <w:sz w:val="22"/>
      <w:szCs w:val="20"/>
      <w:lang w:val="en-GB" w:eastAsia="de-DE" w:bidi="ar-SA"/>
    </w:rPr>
  </w:style>
  <w:style w:type="paragraph" w:customStyle="1" w:styleId="AnnoHead2">
    <w:name w:val="AnnoHead2"/>
    <w:basedOn w:val="a"/>
    <w:next w:val="AnnoHead3"/>
    <w:rsid w:val="004D2653"/>
    <w:pPr>
      <w:widowControl/>
      <w:numPr>
        <w:ilvl w:val="1"/>
        <w:numId w:val="1"/>
      </w:numPr>
      <w:spacing w:before="180"/>
      <w:jc w:val="center"/>
    </w:pPr>
    <w:rPr>
      <w:rFonts w:ascii="Times New Roman" w:hAnsi="Times New Roman" w:cs="Times New Roman"/>
      <w:b/>
      <w:kern w:val="0"/>
      <w:sz w:val="22"/>
      <w:szCs w:val="20"/>
      <w:lang w:val="en-GB" w:eastAsia="de-DE" w:bidi="ar-SA"/>
    </w:rPr>
  </w:style>
  <w:style w:type="paragraph" w:customStyle="1" w:styleId="AnnoHead3">
    <w:name w:val="AnnoHead3"/>
    <w:basedOn w:val="a"/>
    <w:next w:val="AnnoPara"/>
    <w:rsid w:val="004D2653"/>
    <w:pPr>
      <w:widowControl/>
      <w:numPr>
        <w:ilvl w:val="2"/>
        <w:numId w:val="1"/>
      </w:numPr>
      <w:spacing w:before="180"/>
      <w:jc w:val="left"/>
    </w:pPr>
    <w:rPr>
      <w:rFonts w:ascii="Times New Roman" w:hAnsi="Times New Roman" w:cs="Times New Roman"/>
      <w:kern w:val="0"/>
      <w:sz w:val="22"/>
      <w:szCs w:val="20"/>
      <w:u w:val="single"/>
      <w:lang w:val="en-GB" w:eastAsia="de-DE" w:bidi="ar-SA"/>
    </w:rPr>
  </w:style>
  <w:style w:type="character" w:customStyle="1" w:styleId="RegParaChar">
    <w:name w:val="RegPara Char"/>
    <w:link w:val="RegPara"/>
    <w:locked/>
    <w:rsid w:val="004D2653"/>
    <w:rPr>
      <w:rFonts w:ascii="Times New Roman" w:hAnsi="Times New Roman" w:cs="Times New Roman"/>
      <w:kern w:val="0"/>
      <w:sz w:val="22"/>
      <w:szCs w:val="20"/>
      <w:lang w:val="en-GB" w:eastAsia="de-DE" w:bidi="ar-SA"/>
    </w:rPr>
  </w:style>
  <w:style w:type="paragraph" w:styleId="a3">
    <w:name w:val="Balloon Text"/>
    <w:basedOn w:val="a"/>
    <w:link w:val="a4"/>
    <w:uiPriority w:val="99"/>
    <w:semiHidden/>
    <w:unhideWhenUsed/>
    <w:rsid w:val="004D2653"/>
    <w:rPr>
      <w:rFonts w:asciiTheme="majorHAnsi" w:eastAsiaTheme="majorEastAsia" w:hAnsiTheme="majorHAnsi" w:cstheme="majorBidi"/>
      <w:sz w:val="18"/>
      <w:szCs w:val="29"/>
    </w:rPr>
  </w:style>
  <w:style w:type="character" w:customStyle="1" w:styleId="a4">
    <w:name w:val="吹き出し (文字)"/>
    <w:basedOn w:val="a0"/>
    <w:link w:val="a3"/>
    <w:uiPriority w:val="99"/>
    <w:semiHidden/>
    <w:rsid w:val="004D2653"/>
    <w:rPr>
      <w:rFonts w:asciiTheme="majorHAnsi" w:eastAsiaTheme="majorEastAsia" w:hAnsiTheme="majorHAnsi" w:cstheme="majorBidi"/>
      <w:sz w:val="18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chart" Target="charts/chart1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-fukui\Documents\cambodia\2011\gasification\Submission\telecon\May%20&#36861;&#21152;&#35519;&#26619;\SB%20Rice%20mill%20Camboida%20Calculation%20Sheet%20v4-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plotArea>
      <c:layout>
        <c:manualLayout>
          <c:layoutTarget val="inner"/>
          <c:xMode val="edge"/>
          <c:yMode val="edge"/>
          <c:x val="0.10892811217389771"/>
          <c:y val="7.327654009119168E-2"/>
          <c:w val="0.81862231147281084"/>
          <c:h val="0.84268497437330003"/>
        </c:manualLayout>
      </c:layout>
      <c:scatterChart>
        <c:scatterStyle val="lineMarker"/>
        <c:ser>
          <c:idx val="0"/>
          <c:order val="0"/>
          <c:tx>
            <c:strRef>
              <c:f>'emission factor'!$G$3</c:f>
              <c:strCache>
                <c:ptCount val="1"/>
                <c:pt idx="0">
                  <c:v>Annual diesel consumptions(l)</c:v>
                </c:pt>
              </c:strCache>
            </c:strRef>
          </c:tx>
          <c:spPr>
            <a:ln w="28575">
              <a:noFill/>
            </a:ln>
          </c:spPr>
          <c:trendline>
            <c:trendlineType val="power"/>
            <c:dispRSqr val="1"/>
            <c:dispEq val="1"/>
            <c:trendlineLbl>
              <c:layout>
                <c:manualLayout>
                  <c:x val="-5.8823829907167689E-2"/>
                  <c:y val="-4.2539760421082956E-2"/>
                </c:manualLayout>
              </c:layout>
              <c:numFmt formatCode="General" sourceLinked="0"/>
            </c:trendlineLbl>
          </c:trendline>
          <c:xVal>
            <c:numRef>
              <c:f>'emission factor'!$F$4:$F$70</c:f>
              <c:numCache>
                <c:formatCode>#,##0;[Red]\-#,##0</c:formatCode>
                <c:ptCount val="67"/>
                <c:pt idx="0">
                  <c:v>300</c:v>
                </c:pt>
                <c:pt idx="1">
                  <c:v>360</c:v>
                </c:pt>
                <c:pt idx="2">
                  <c:v>400</c:v>
                </c:pt>
                <c:pt idx="3">
                  <c:v>400</c:v>
                </c:pt>
                <c:pt idx="4">
                  <c:v>400</c:v>
                </c:pt>
                <c:pt idx="5">
                  <c:v>400</c:v>
                </c:pt>
                <c:pt idx="6">
                  <c:v>400</c:v>
                </c:pt>
                <c:pt idx="7">
                  <c:v>400</c:v>
                </c:pt>
                <c:pt idx="8">
                  <c:v>400</c:v>
                </c:pt>
                <c:pt idx="9">
                  <c:v>400</c:v>
                </c:pt>
                <c:pt idx="10">
                  <c:v>480</c:v>
                </c:pt>
                <c:pt idx="11">
                  <c:v>400</c:v>
                </c:pt>
                <c:pt idx="12">
                  <c:v>500</c:v>
                </c:pt>
                <c:pt idx="13" formatCode="General">
                  <c:v>100</c:v>
                </c:pt>
                <c:pt idx="14">
                  <c:v>600</c:v>
                </c:pt>
                <c:pt idx="15">
                  <c:v>600</c:v>
                </c:pt>
                <c:pt idx="16">
                  <c:v>360</c:v>
                </c:pt>
                <c:pt idx="17">
                  <c:v>100</c:v>
                </c:pt>
                <c:pt idx="18">
                  <c:v>200</c:v>
                </c:pt>
                <c:pt idx="19">
                  <c:v>90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600</c:v>
                </c:pt>
                <c:pt idx="27">
                  <c:v>800</c:v>
                </c:pt>
                <c:pt idx="28">
                  <c:v>540</c:v>
                </c:pt>
                <c:pt idx="29">
                  <c:v>960</c:v>
                </c:pt>
                <c:pt idx="30">
                  <c:v>2000</c:v>
                </c:pt>
                <c:pt idx="31">
                  <c:v>1980</c:v>
                </c:pt>
                <c:pt idx="32">
                  <c:v>1470</c:v>
                </c:pt>
                <c:pt idx="33">
                  <c:v>1200</c:v>
                </c:pt>
                <c:pt idx="34">
                  <c:v>1800</c:v>
                </c:pt>
                <c:pt idx="35">
                  <c:v>2000</c:v>
                </c:pt>
                <c:pt idx="36">
                  <c:v>1600</c:v>
                </c:pt>
                <c:pt idx="37">
                  <c:v>1680</c:v>
                </c:pt>
                <c:pt idx="38">
                  <c:v>2000</c:v>
                </c:pt>
                <c:pt idx="39">
                  <c:v>1800</c:v>
                </c:pt>
                <c:pt idx="40">
                  <c:v>1920</c:v>
                </c:pt>
                <c:pt idx="41">
                  <c:v>2160</c:v>
                </c:pt>
                <c:pt idx="42">
                  <c:v>1600</c:v>
                </c:pt>
                <c:pt idx="43">
                  <c:v>3000</c:v>
                </c:pt>
                <c:pt idx="44">
                  <c:v>1500</c:v>
                </c:pt>
                <c:pt idx="45">
                  <c:v>2730</c:v>
                </c:pt>
                <c:pt idx="46" formatCode="General">
                  <c:v>3000</c:v>
                </c:pt>
                <c:pt idx="47" formatCode="General">
                  <c:v>2500</c:v>
                </c:pt>
                <c:pt idx="48" formatCode="General">
                  <c:v>2400</c:v>
                </c:pt>
                <c:pt idx="49">
                  <c:v>2700</c:v>
                </c:pt>
                <c:pt idx="50" formatCode="General">
                  <c:v>2500</c:v>
                </c:pt>
                <c:pt idx="51">
                  <c:v>2000</c:v>
                </c:pt>
                <c:pt idx="52">
                  <c:v>1080</c:v>
                </c:pt>
                <c:pt idx="53">
                  <c:v>1350</c:v>
                </c:pt>
                <c:pt idx="54">
                  <c:v>2000</c:v>
                </c:pt>
                <c:pt idx="55">
                  <c:v>1600</c:v>
                </c:pt>
                <c:pt idx="56">
                  <c:v>1080</c:v>
                </c:pt>
                <c:pt idx="57">
                  <c:v>1280</c:v>
                </c:pt>
                <c:pt idx="58" formatCode="General">
                  <c:v>2250</c:v>
                </c:pt>
                <c:pt idx="59">
                  <c:v>3000</c:v>
                </c:pt>
                <c:pt idx="60">
                  <c:v>5120</c:v>
                </c:pt>
                <c:pt idx="61">
                  <c:v>5346</c:v>
                </c:pt>
                <c:pt idx="62">
                  <c:v>3600</c:v>
                </c:pt>
                <c:pt idx="63">
                  <c:v>3600</c:v>
                </c:pt>
                <c:pt idx="64">
                  <c:v>3150</c:v>
                </c:pt>
                <c:pt idx="65">
                  <c:v>4800</c:v>
                </c:pt>
                <c:pt idx="66">
                  <c:v>5250</c:v>
                </c:pt>
              </c:numCache>
            </c:numRef>
          </c:xVal>
          <c:yVal>
            <c:numRef>
              <c:f>'emission factor'!$G$4:$G$70</c:f>
              <c:numCache>
                <c:formatCode>#,##0;[Red]\-#,##0</c:formatCode>
                <c:ptCount val="67"/>
                <c:pt idx="0">
                  <c:v>10000</c:v>
                </c:pt>
                <c:pt idx="1">
                  <c:v>12000</c:v>
                </c:pt>
                <c:pt idx="2">
                  <c:v>10000</c:v>
                </c:pt>
                <c:pt idx="3">
                  <c:v>10000</c:v>
                </c:pt>
                <c:pt idx="4">
                  <c:v>10000</c:v>
                </c:pt>
                <c:pt idx="5">
                  <c:v>10000</c:v>
                </c:pt>
                <c:pt idx="6">
                  <c:v>10000</c:v>
                </c:pt>
                <c:pt idx="7">
                  <c:v>10000</c:v>
                </c:pt>
                <c:pt idx="8">
                  <c:v>10000</c:v>
                </c:pt>
                <c:pt idx="9">
                  <c:v>10000</c:v>
                </c:pt>
                <c:pt idx="10">
                  <c:v>12000</c:v>
                </c:pt>
                <c:pt idx="11">
                  <c:v>10000</c:v>
                </c:pt>
                <c:pt idx="12">
                  <c:v>12000</c:v>
                </c:pt>
                <c:pt idx="13" formatCode="General">
                  <c:v>2400</c:v>
                </c:pt>
                <c:pt idx="14">
                  <c:v>14000</c:v>
                </c:pt>
                <c:pt idx="15">
                  <c:v>14000</c:v>
                </c:pt>
                <c:pt idx="16">
                  <c:v>8000</c:v>
                </c:pt>
                <c:pt idx="17">
                  <c:v>2000</c:v>
                </c:pt>
                <c:pt idx="18">
                  <c:v>4000</c:v>
                </c:pt>
                <c:pt idx="19">
                  <c:v>1800</c:v>
                </c:pt>
                <c:pt idx="20">
                  <c:v>2000</c:v>
                </c:pt>
                <c:pt idx="21">
                  <c:v>2000</c:v>
                </c:pt>
                <c:pt idx="22">
                  <c:v>2000</c:v>
                </c:pt>
                <c:pt idx="23">
                  <c:v>2000</c:v>
                </c:pt>
                <c:pt idx="24">
                  <c:v>2000</c:v>
                </c:pt>
                <c:pt idx="25">
                  <c:v>2000</c:v>
                </c:pt>
                <c:pt idx="26">
                  <c:v>12000</c:v>
                </c:pt>
                <c:pt idx="27">
                  <c:v>15000</c:v>
                </c:pt>
                <c:pt idx="28">
                  <c:v>6750</c:v>
                </c:pt>
                <c:pt idx="29">
                  <c:v>12000</c:v>
                </c:pt>
                <c:pt idx="30">
                  <c:v>60000</c:v>
                </c:pt>
                <c:pt idx="31">
                  <c:v>59400</c:v>
                </c:pt>
                <c:pt idx="32">
                  <c:v>37800</c:v>
                </c:pt>
                <c:pt idx="33">
                  <c:v>30000</c:v>
                </c:pt>
                <c:pt idx="34">
                  <c:v>43200</c:v>
                </c:pt>
                <c:pt idx="35">
                  <c:v>48000</c:v>
                </c:pt>
                <c:pt idx="36">
                  <c:v>36000</c:v>
                </c:pt>
                <c:pt idx="37">
                  <c:v>37800</c:v>
                </c:pt>
                <c:pt idx="38">
                  <c:v>42000</c:v>
                </c:pt>
                <c:pt idx="39">
                  <c:v>37800</c:v>
                </c:pt>
                <c:pt idx="40">
                  <c:v>40000</c:v>
                </c:pt>
                <c:pt idx="41">
                  <c:v>43200</c:v>
                </c:pt>
                <c:pt idx="42">
                  <c:v>30000</c:v>
                </c:pt>
                <c:pt idx="43">
                  <c:v>56000</c:v>
                </c:pt>
                <c:pt idx="44">
                  <c:v>27000</c:v>
                </c:pt>
                <c:pt idx="45">
                  <c:v>44100</c:v>
                </c:pt>
                <c:pt idx="46" formatCode="General">
                  <c:v>45000</c:v>
                </c:pt>
                <c:pt idx="47" formatCode="General">
                  <c:v>37500</c:v>
                </c:pt>
                <c:pt idx="48" formatCode="General">
                  <c:v>34000</c:v>
                </c:pt>
                <c:pt idx="49">
                  <c:v>36000</c:v>
                </c:pt>
                <c:pt idx="50" formatCode="General">
                  <c:v>32500</c:v>
                </c:pt>
                <c:pt idx="51">
                  <c:v>26000</c:v>
                </c:pt>
                <c:pt idx="52">
                  <c:v>13500</c:v>
                </c:pt>
                <c:pt idx="53">
                  <c:v>16500</c:v>
                </c:pt>
                <c:pt idx="54">
                  <c:v>24000</c:v>
                </c:pt>
                <c:pt idx="55">
                  <c:v>18000</c:v>
                </c:pt>
                <c:pt idx="56">
                  <c:v>12000</c:v>
                </c:pt>
                <c:pt idx="57">
                  <c:v>14000</c:v>
                </c:pt>
                <c:pt idx="58" formatCode="General">
                  <c:v>24000</c:v>
                </c:pt>
                <c:pt idx="59">
                  <c:v>24000</c:v>
                </c:pt>
                <c:pt idx="60">
                  <c:v>112000</c:v>
                </c:pt>
                <c:pt idx="61">
                  <c:v>108900</c:v>
                </c:pt>
                <c:pt idx="62">
                  <c:v>64800</c:v>
                </c:pt>
                <c:pt idx="63">
                  <c:v>54000</c:v>
                </c:pt>
                <c:pt idx="64">
                  <c:v>37800</c:v>
                </c:pt>
                <c:pt idx="65">
                  <c:v>50400</c:v>
                </c:pt>
                <c:pt idx="66">
                  <c:v>52500</c:v>
                </c:pt>
              </c:numCache>
            </c:numRef>
          </c:yVal>
        </c:ser>
        <c:ser>
          <c:idx val="1"/>
          <c:order val="1"/>
          <c:tx>
            <c:strRef>
              <c:f>'emission factor'!$M$3</c:f>
              <c:strCache>
                <c:ptCount val="1"/>
                <c:pt idx="0">
                  <c:v>Calculated diesel consumption (80th percentile carbon intensity)</c:v>
                </c:pt>
              </c:strCache>
            </c:strRef>
          </c:tx>
          <c:spPr>
            <a:ln w="28575">
              <a:noFill/>
            </a:ln>
          </c:spPr>
          <c:xVal>
            <c:numRef>
              <c:f>'emission factor'!$F$4:$F$70</c:f>
              <c:numCache>
                <c:formatCode>#,##0;[Red]\-#,##0</c:formatCode>
                <c:ptCount val="67"/>
                <c:pt idx="0">
                  <c:v>300</c:v>
                </c:pt>
                <c:pt idx="1">
                  <c:v>360</c:v>
                </c:pt>
                <c:pt idx="2">
                  <c:v>400</c:v>
                </c:pt>
                <c:pt idx="3">
                  <c:v>400</c:v>
                </c:pt>
                <c:pt idx="4">
                  <c:v>400</c:v>
                </c:pt>
                <c:pt idx="5">
                  <c:v>400</c:v>
                </c:pt>
                <c:pt idx="6">
                  <c:v>400</c:v>
                </c:pt>
                <c:pt idx="7">
                  <c:v>400</c:v>
                </c:pt>
                <c:pt idx="8">
                  <c:v>400</c:v>
                </c:pt>
                <c:pt idx="9">
                  <c:v>400</c:v>
                </c:pt>
                <c:pt idx="10">
                  <c:v>480</c:v>
                </c:pt>
                <c:pt idx="11">
                  <c:v>400</c:v>
                </c:pt>
                <c:pt idx="12">
                  <c:v>500</c:v>
                </c:pt>
                <c:pt idx="13" formatCode="General">
                  <c:v>100</c:v>
                </c:pt>
                <c:pt idx="14">
                  <c:v>600</c:v>
                </c:pt>
                <c:pt idx="15">
                  <c:v>600</c:v>
                </c:pt>
                <c:pt idx="16">
                  <c:v>360</c:v>
                </c:pt>
                <c:pt idx="17">
                  <c:v>100</c:v>
                </c:pt>
                <c:pt idx="18">
                  <c:v>200</c:v>
                </c:pt>
                <c:pt idx="19">
                  <c:v>90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600</c:v>
                </c:pt>
                <c:pt idx="27">
                  <c:v>800</c:v>
                </c:pt>
                <c:pt idx="28">
                  <c:v>540</c:v>
                </c:pt>
                <c:pt idx="29">
                  <c:v>960</c:v>
                </c:pt>
                <c:pt idx="30">
                  <c:v>2000</c:v>
                </c:pt>
                <c:pt idx="31">
                  <c:v>1980</c:v>
                </c:pt>
                <c:pt idx="32">
                  <c:v>1470</c:v>
                </c:pt>
                <c:pt idx="33">
                  <c:v>1200</c:v>
                </c:pt>
                <c:pt idx="34">
                  <c:v>1800</c:v>
                </c:pt>
                <c:pt idx="35">
                  <c:v>2000</c:v>
                </c:pt>
                <c:pt idx="36">
                  <c:v>1600</c:v>
                </c:pt>
                <c:pt idx="37">
                  <c:v>1680</c:v>
                </c:pt>
                <c:pt idx="38">
                  <c:v>2000</c:v>
                </c:pt>
                <c:pt idx="39">
                  <c:v>1800</c:v>
                </c:pt>
                <c:pt idx="40">
                  <c:v>1920</c:v>
                </c:pt>
                <c:pt idx="41">
                  <c:v>2160</c:v>
                </c:pt>
                <c:pt idx="42">
                  <c:v>1600</c:v>
                </c:pt>
                <c:pt idx="43">
                  <c:v>3000</c:v>
                </c:pt>
                <c:pt idx="44">
                  <c:v>1500</c:v>
                </c:pt>
                <c:pt idx="45">
                  <c:v>2730</c:v>
                </c:pt>
                <c:pt idx="46" formatCode="General">
                  <c:v>3000</c:v>
                </c:pt>
                <c:pt idx="47" formatCode="General">
                  <c:v>2500</c:v>
                </c:pt>
                <c:pt idx="48" formatCode="General">
                  <c:v>2400</c:v>
                </c:pt>
                <c:pt idx="49">
                  <c:v>2700</c:v>
                </c:pt>
                <c:pt idx="50" formatCode="General">
                  <c:v>2500</c:v>
                </c:pt>
                <c:pt idx="51">
                  <c:v>2000</c:v>
                </c:pt>
                <c:pt idx="52">
                  <c:v>1080</c:v>
                </c:pt>
                <c:pt idx="53">
                  <c:v>1350</c:v>
                </c:pt>
                <c:pt idx="54">
                  <c:v>2000</c:v>
                </c:pt>
                <c:pt idx="55">
                  <c:v>1600</c:v>
                </c:pt>
                <c:pt idx="56">
                  <c:v>1080</c:v>
                </c:pt>
                <c:pt idx="57">
                  <c:v>1280</c:v>
                </c:pt>
                <c:pt idx="58" formatCode="General">
                  <c:v>2250</c:v>
                </c:pt>
                <c:pt idx="59">
                  <c:v>3000</c:v>
                </c:pt>
                <c:pt idx="60">
                  <c:v>5120</c:v>
                </c:pt>
                <c:pt idx="61">
                  <c:v>5346</c:v>
                </c:pt>
                <c:pt idx="62">
                  <c:v>3600</c:v>
                </c:pt>
                <c:pt idx="63">
                  <c:v>3600</c:v>
                </c:pt>
                <c:pt idx="64">
                  <c:v>3150</c:v>
                </c:pt>
                <c:pt idx="65">
                  <c:v>4800</c:v>
                </c:pt>
                <c:pt idx="66">
                  <c:v>5250</c:v>
                </c:pt>
              </c:numCache>
            </c:numRef>
          </c:xVal>
          <c:yVal>
            <c:numRef>
              <c:f>'emission factor'!$M$4:$M$63</c:f>
              <c:numCache>
                <c:formatCode>#,##0;[Red]\-#,##0</c:formatCode>
                <c:ptCount val="60"/>
                <c:pt idx="0">
                  <c:v>5625</c:v>
                </c:pt>
                <c:pt idx="1">
                  <c:v>6750</c:v>
                </c:pt>
                <c:pt idx="2">
                  <c:v>7500</c:v>
                </c:pt>
                <c:pt idx="3">
                  <c:v>7500</c:v>
                </c:pt>
                <c:pt idx="4">
                  <c:v>7500</c:v>
                </c:pt>
                <c:pt idx="5">
                  <c:v>7500</c:v>
                </c:pt>
                <c:pt idx="6">
                  <c:v>7500</c:v>
                </c:pt>
                <c:pt idx="7">
                  <c:v>7500</c:v>
                </c:pt>
                <c:pt idx="8">
                  <c:v>7500</c:v>
                </c:pt>
                <c:pt idx="9">
                  <c:v>7500</c:v>
                </c:pt>
                <c:pt idx="10">
                  <c:v>9000</c:v>
                </c:pt>
                <c:pt idx="11">
                  <c:v>7500</c:v>
                </c:pt>
                <c:pt idx="12">
                  <c:v>9375.0000000000018</c:v>
                </c:pt>
                <c:pt idx="13">
                  <c:v>1875</c:v>
                </c:pt>
                <c:pt idx="14">
                  <c:v>11250</c:v>
                </c:pt>
                <c:pt idx="15">
                  <c:v>11250</c:v>
                </c:pt>
                <c:pt idx="16">
                  <c:v>6750</c:v>
                </c:pt>
                <c:pt idx="17">
                  <c:v>1875</c:v>
                </c:pt>
                <c:pt idx="18">
                  <c:v>3750</c:v>
                </c:pt>
                <c:pt idx="19">
                  <c:v>1687.5</c:v>
                </c:pt>
                <c:pt idx="20">
                  <c:v>1875</c:v>
                </c:pt>
                <c:pt idx="21">
                  <c:v>1875</c:v>
                </c:pt>
                <c:pt idx="22">
                  <c:v>1875</c:v>
                </c:pt>
                <c:pt idx="23">
                  <c:v>1875</c:v>
                </c:pt>
                <c:pt idx="24">
                  <c:v>1875</c:v>
                </c:pt>
                <c:pt idx="25">
                  <c:v>1875</c:v>
                </c:pt>
                <c:pt idx="26">
                  <c:v>11250</c:v>
                </c:pt>
                <c:pt idx="27">
                  <c:v>15000</c:v>
                </c:pt>
                <c:pt idx="28">
                  <c:v>10125.000000000002</c:v>
                </c:pt>
                <c:pt idx="29">
                  <c:v>18000</c:v>
                </c:pt>
                <c:pt idx="30">
                  <c:v>24444.444444444449</c:v>
                </c:pt>
                <c:pt idx="31">
                  <c:v>24200</c:v>
                </c:pt>
                <c:pt idx="32">
                  <c:v>17966.666666666664</c:v>
                </c:pt>
                <c:pt idx="33">
                  <c:v>14666.666666666668</c:v>
                </c:pt>
                <c:pt idx="34">
                  <c:v>22000</c:v>
                </c:pt>
                <c:pt idx="35">
                  <c:v>24444.444444444449</c:v>
                </c:pt>
                <c:pt idx="36">
                  <c:v>19555.555555555547</c:v>
                </c:pt>
                <c:pt idx="37">
                  <c:v>20533.333333333332</c:v>
                </c:pt>
                <c:pt idx="38">
                  <c:v>24444.444444444449</c:v>
                </c:pt>
                <c:pt idx="39">
                  <c:v>22000</c:v>
                </c:pt>
                <c:pt idx="40">
                  <c:v>23466.666666666664</c:v>
                </c:pt>
                <c:pt idx="41">
                  <c:v>26399.999999999996</c:v>
                </c:pt>
                <c:pt idx="42">
                  <c:v>19555.555555555547</c:v>
                </c:pt>
                <c:pt idx="43">
                  <c:v>36666.666666666657</c:v>
                </c:pt>
                <c:pt idx="44">
                  <c:v>18333.333333333328</c:v>
                </c:pt>
                <c:pt idx="45">
                  <c:v>33366.666666666664</c:v>
                </c:pt>
                <c:pt idx="46">
                  <c:v>36666.666666666657</c:v>
                </c:pt>
                <c:pt idx="47">
                  <c:v>30555.555555555551</c:v>
                </c:pt>
                <c:pt idx="48">
                  <c:v>29333.333333333332</c:v>
                </c:pt>
                <c:pt idx="49">
                  <c:v>33000</c:v>
                </c:pt>
                <c:pt idx="50">
                  <c:v>30555.555555555551</c:v>
                </c:pt>
                <c:pt idx="51">
                  <c:v>24444.444444444449</c:v>
                </c:pt>
                <c:pt idx="52">
                  <c:v>13199.999999999995</c:v>
                </c:pt>
                <c:pt idx="53">
                  <c:v>16500</c:v>
                </c:pt>
                <c:pt idx="54">
                  <c:v>24444.444444444449</c:v>
                </c:pt>
                <c:pt idx="55">
                  <c:v>19555.555555555547</c:v>
                </c:pt>
                <c:pt idx="56">
                  <c:v>13199.999999999995</c:v>
                </c:pt>
                <c:pt idx="57">
                  <c:v>15644.444444444447</c:v>
                </c:pt>
                <c:pt idx="58">
                  <c:v>27499.999999999996</c:v>
                </c:pt>
                <c:pt idx="59">
                  <c:v>36666.666666666657</c:v>
                </c:pt>
              </c:numCache>
            </c:numRef>
          </c:yVal>
        </c:ser>
        <c:axId val="184533376"/>
        <c:axId val="184534912"/>
      </c:scatterChart>
      <c:valAx>
        <c:axId val="184533376"/>
        <c:scaling>
          <c:orientation val="minMax"/>
        </c:scaling>
        <c:axPos val="b"/>
        <c:numFmt formatCode="#,##0;[Red]\-#,##0" sourceLinked="1"/>
        <c:tickLblPos val="nextTo"/>
        <c:crossAx val="184534912"/>
        <c:crosses val="autoZero"/>
        <c:crossBetween val="midCat"/>
      </c:valAx>
      <c:valAx>
        <c:axId val="184534912"/>
        <c:scaling>
          <c:orientation val="minMax"/>
        </c:scaling>
        <c:axPos val="l"/>
        <c:majorGridlines/>
        <c:numFmt formatCode="#,##0;[Red]\-#,##0" sourceLinked="1"/>
        <c:tickLblPos val="nextTo"/>
        <c:crossAx val="184533376"/>
        <c:crosses val="autoZero"/>
        <c:crossBetween val="midCat"/>
      </c:valAx>
    </c:plotArea>
    <c:legend>
      <c:legendPos val="r"/>
      <c:layout>
        <c:manualLayout>
          <c:xMode val="edge"/>
          <c:yMode val="edge"/>
          <c:x val="0.15659955257270713"/>
          <c:y val="7.3983857200745323E-2"/>
          <c:w val="0.34004474272930652"/>
          <c:h val="0.43110947798235677"/>
        </c:manualLayout>
      </c:layout>
    </c:legend>
    <c:plotVisOnly val="1"/>
  </c:chart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a-fukui</dc:creator>
  <cp:lastModifiedBy>a-fukui</cp:lastModifiedBy>
  <cp:revision>2</cp:revision>
  <dcterms:created xsi:type="dcterms:W3CDTF">2013-05-23T11:17:00Z</dcterms:created>
  <dcterms:modified xsi:type="dcterms:W3CDTF">2013-05-23T14:02:00Z</dcterms:modified>
</cp:coreProperties>
</file>