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751B3" w14:textId="77777777" w:rsidR="00C43AF3" w:rsidRDefault="00C43AF3" w:rsidP="009F35B1">
      <w:pPr>
        <w:rPr>
          <w:b/>
          <w:bCs/>
        </w:rPr>
      </w:pPr>
    </w:p>
    <w:p w14:paraId="42240D59" w14:textId="77777777" w:rsidR="00C43AF3" w:rsidRDefault="00C43AF3" w:rsidP="00C43AF3">
      <w:pPr>
        <w:pStyle w:val="NormalWeb"/>
      </w:pPr>
      <w:r>
        <w:rPr>
          <w:rStyle w:val="Strong"/>
        </w:rPr>
        <w:t xml:space="preserve">Detailed Submission on the Flaws in </w:t>
      </w:r>
      <w:proofErr w:type="spellStart"/>
      <w:r>
        <w:rPr>
          <w:rStyle w:val="Strong"/>
        </w:rPr>
        <w:t>MoFuSS</w:t>
      </w:r>
      <w:proofErr w:type="spellEnd"/>
      <w:r>
        <w:rPr>
          <w:rStyle w:val="Strong"/>
        </w:rPr>
        <w:t xml:space="preserve">-Derived </w:t>
      </w:r>
      <w:proofErr w:type="spellStart"/>
      <w:r>
        <w:rPr>
          <w:rStyle w:val="Strong"/>
        </w:rPr>
        <w:t>fNRB</w:t>
      </w:r>
      <w:proofErr w:type="spellEnd"/>
      <w:r>
        <w:rPr>
          <w:rStyle w:val="Strong"/>
        </w:rPr>
        <w:t xml:space="preserve"> Values for CDM Projects</w:t>
      </w:r>
    </w:p>
    <w:p w14:paraId="7C20D816" w14:textId="77777777" w:rsidR="00C43AF3" w:rsidRDefault="00C43AF3" w:rsidP="00C43AF3">
      <w:pPr>
        <w:pStyle w:val="NormalWeb"/>
      </w:pPr>
      <w:r>
        <w:t>The current methodology used to calculate the fraction of non-renewable biomass (</w:t>
      </w:r>
      <w:proofErr w:type="spellStart"/>
      <w:r>
        <w:t>fNRB</w:t>
      </w:r>
      <w:proofErr w:type="spellEnd"/>
      <w:r>
        <w:t xml:space="preserve">) through the </w:t>
      </w:r>
      <w:proofErr w:type="spellStart"/>
      <w:r>
        <w:t>MoFuSS</w:t>
      </w:r>
      <w:proofErr w:type="spellEnd"/>
      <w:r>
        <w:t xml:space="preserve"> (Model for Fuelwood Supply and Sustainability) model contains a critical shortcoming—one that significantly affects the accuracy of emissions estimations, especially in a diverse and complex country like India.</w:t>
      </w:r>
    </w:p>
    <w:p w14:paraId="130EAC25" w14:textId="77777777" w:rsidR="00C43AF3" w:rsidRDefault="00C43AF3" w:rsidP="00C43AF3">
      <w:pPr>
        <w:pStyle w:val="NormalWeb"/>
      </w:pPr>
      <w:r>
        <w:t>The core issue lies in how the model treats all forest biomass as a single, uniform source. It does not distinguish between:</w:t>
      </w:r>
    </w:p>
    <w:p w14:paraId="34EECD80" w14:textId="77777777" w:rsidR="00C43AF3" w:rsidRDefault="00C43AF3" w:rsidP="00C43AF3">
      <w:pPr>
        <w:pStyle w:val="NormalWeb"/>
      </w:pPr>
      <w:r>
        <w:t>a) Naturally occurring forests, and</w:t>
      </w:r>
      <w:r>
        <w:br/>
        <w:t>b) Purpose-grown plantations or agroforestry systems.</w:t>
      </w:r>
    </w:p>
    <w:p w14:paraId="484E7AF8" w14:textId="77777777" w:rsidR="00C43AF3" w:rsidRDefault="00C43AF3" w:rsidP="00C43AF3">
      <w:pPr>
        <w:pStyle w:val="NormalWeb"/>
      </w:pPr>
      <w:r>
        <w:t>This lack of differentiation is problematic. In India, agroforestry and plantation development—driven by food security goals, rising demand for fruit-bearing trees, and government horticulture initiatives—has grown substantially. However, these agroforestry plots are rarely harvested for fuelwood. Their primary purpose is to provide fruit, improve nutrition, and support livelihoods—not to serve as a source of wood fuel.</w:t>
      </w:r>
    </w:p>
    <w:p w14:paraId="05D06346" w14:textId="77777777" w:rsidR="00C43AF3" w:rsidRDefault="00C43AF3" w:rsidP="00C43AF3">
      <w:pPr>
        <w:pStyle w:val="NormalWeb"/>
      </w:pPr>
      <w:r>
        <w:t xml:space="preserve">By not distinguishing between these types of </w:t>
      </w:r>
      <w:proofErr w:type="gramStart"/>
      <w:r>
        <w:t>biomass</w:t>
      </w:r>
      <w:proofErr w:type="gramEnd"/>
      <w:r>
        <w:t xml:space="preserve">, </w:t>
      </w:r>
      <w:proofErr w:type="spellStart"/>
      <w:r>
        <w:t>MoFuSS</w:t>
      </w:r>
      <w:proofErr w:type="spellEnd"/>
      <w:r>
        <w:t xml:space="preserve"> inadvertently inflates the perceived availability of renewable wood, leading to a systemic underestimation of the actual </w:t>
      </w:r>
      <w:proofErr w:type="spellStart"/>
      <w:r>
        <w:t>fNRB</w:t>
      </w:r>
      <w:proofErr w:type="spellEnd"/>
      <w:r>
        <w:t>. As a result, the model generates inaccurate baseline emissions data. This not only undermines the credibility of Clean Development Mechanism (CDM) projects but also unfairly reduces the number of Certified Emission Reductions (CERs) awarded to initiatives genuinely working to combat forest degradation.</w:t>
      </w:r>
    </w:p>
    <w:p w14:paraId="267D2C7A" w14:textId="77777777" w:rsidR="00C43AF3" w:rsidRDefault="00C43AF3" w:rsidP="00C43AF3">
      <w:pPr>
        <w:pStyle w:val="NormalWeb"/>
      </w:pPr>
      <w:r>
        <w:t>A closer look at the Forest Survey of India (FSI) reports from 1980 to 2023 underscores the issue. While overall forest cover appears to have increased, the gain is largely due to extensive afforestation and agroforestry programs. At the same time, natural forests—especially those easily accessible to local communities for fuelwood—have been degrading. The growing stock in these forests has declined, and their ecological integrity continues to suffer.</w:t>
      </w:r>
    </w:p>
    <w:p w14:paraId="2B201911" w14:textId="77777777" w:rsidR="00C43AF3" w:rsidRDefault="00C43AF3" w:rsidP="00C43AF3">
      <w:pPr>
        <w:pStyle w:val="NormalWeb"/>
      </w:pPr>
      <w:r>
        <w:t xml:space="preserve">In short, </w:t>
      </w:r>
      <w:proofErr w:type="spellStart"/>
      <w:r>
        <w:t>MoFuSS</w:t>
      </w:r>
      <w:proofErr w:type="spellEnd"/>
      <w:r>
        <w:t xml:space="preserve"> paints an overly optimistic picture of forest biomass availability by ignoring crucial distinctions. For CDM projects to be accurately assessed and </w:t>
      </w:r>
      <w:proofErr w:type="gramStart"/>
      <w:r>
        <w:t>fairly rewarded</w:t>
      </w:r>
      <w:proofErr w:type="gramEnd"/>
      <w:r>
        <w:t>, the model must evolve to reflect the ground realities of forest use and management in countries like India.</w:t>
      </w:r>
    </w:p>
    <w:p w14:paraId="7C8CDC84" w14:textId="77777777" w:rsidR="00C43AF3" w:rsidRDefault="00C43AF3" w:rsidP="009F35B1">
      <w:pPr>
        <w:rPr>
          <w:b/>
          <w:bCs/>
        </w:rPr>
      </w:pPr>
    </w:p>
    <w:p w14:paraId="424861EA" w14:textId="77777777" w:rsidR="00C43AF3" w:rsidRDefault="00C43AF3" w:rsidP="009F35B1">
      <w:pPr>
        <w:rPr>
          <w:b/>
          <w:bCs/>
        </w:rPr>
      </w:pPr>
    </w:p>
    <w:p w14:paraId="7146E710" w14:textId="77777777" w:rsidR="00C43AF3" w:rsidRDefault="00C43AF3" w:rsidP="009F35B1">
      <w:pPr>
        <w:rPr>
          <w:b/>
          <w:bCs/>
        </w:rPr>
      </w:pPr>
    </w:p>
    <w:p w14:paraId="58C0F210" w14:textId="77777777" w:rsidR="00C43AF3" w:rsidRDefault="00C43AF3" w:rsidP="009F35B1">
      <w:pPr>
        <w:rPr>
          <w:b/>
          <w:bCs/>
        </w:rPr>
      </w:pPr>
    </w:p>
    <w:p w14:paraId="43634711" w14:textId="481B4207" w:rsidR="004C6900" w:rsidRDefault="004C6900" w:rsidP="009F35B1">
      <w:r>
        <w:rPr>
          <w:noProof/>
        </w:rPr>
        <w:lastRenderedPageBreak/>
        <w:drawing>
          <wp:inline distT="0" distB="0" distL="0" distR="0" wp14:anchorId="06A17D2B" wp14:editId="31BE7618">
            <wp:extent cx="5734050" cy="2862580"/>
            <wp:effectExtent l="0" t="0" r="0" b="13970"/>
            <wp:docPr id="1" name="Chart 1">
              <a:extLst xmlns:a="http://schemas.openxmlformats.org/drawingml/2006/main">
                <a:ext uri="{FF2B5EF4-FFF2-40B4-BE49-F238E27FC236}">
                  <a16:creationId xmlns:a16="http://schemas.microsoft.com/office/drawing/2014/main" id="{77BBADC2-3885-41C1-9C30-FBF71C39AE1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81E417E" w14:textId="77777777" w:rsidR="004C6900" w:rsidRDefault="004C6900" w:rsidP="009F35B1"/>
    <w:p w14:paraId="20F659EB" w14:textId="77777777" w:rsidR="00C43AF3" w:rsidRPr="00C43AF3" w:rsidRDefault="00C43AF3" w:rsidP="00C43AF3">
      <w:r w:rsidRPr="00C43AF3">
        <w:t xml:space="preserve">By not differentiating these sources, the </w:t>
      </w:r>
      <w:proofErr w:type="spellStart"/>
      <w:r w:rsidRPr="00C43AF3">
        <w:t>MoFuSS</w:t>
      </w:r>
      <w:proofErr w:type="spellEnd"/>
      <w:r w:rsidRPr="00C43AF3">
        <w:t xml:space="preserve"> model mistakenly includes plantation-derived biomass in its calculation of “sustainable” supply. This inflates the availability of renewable biomass and, in turn, artificially lowers the </w:t>
      </w:r>
      <w:proofErr w:type="spellStart"/>
      <w:r w:rsidRPr="00C43AF3">
        <w:t>fNRB</w:t>
      </w:r>
      <w:proofErr w:type="spellEnd"/>
      <w:r w:rsidRPr="00C43AF3">
        <w:t xml:space="preserve"> value.</w:t>
      </w:r>
    </w:p>
    <w:p w14:paraId="25E445C5" w14:textId="77777777" w:rsidR="00C43AF3" w:rsidRPr="00C43AF3" w:rsidRDefault="00C43AF3" w:rsidP="00C43AF3">
      <w:r w:rsidRPr="00C43AF3">
        <w:t xml:space="preserve">This oversight undermines the integrity of emissions calculations. The </w:t>
      </w:r>
      <w:proofErr w:type="spellStart"/>
      <w:r w:rsidRPr="00C43AF3">
        <w:t>fNRB</w:t>
      </w:r>
      <w:proofErr w:type="spellEnd"/>
      <w:r w:rsidRPr="00C43AF3">
        <w:t xml:space="preserve"> is intended to reflect the portion of biomass that is non-renewable—meaning biomass extraction that results in a net loss of carbon stock that nature cannot replenish in the short term. According to the </w:t>
      </w:r>
      <w:r w:rsidRPr="00C43AF3">
        <w:rPr>
          <w:b/>
          <w:bCs/>
        </w:rPr>
        <w:t>IPCC 2006 Guidelines (Volume 4, Chapter 2)</w:t>
      </w:r>
      <w:r w:rsidRPr="00C43AF3">
        <w:t xml:space="preserve">, only biomass drawn from natural forests should be considered when calculating </w:t>
      </w:r>
      <w:proofErr w:type="spellStart"/>
      <w:r w:rsidRPr="00C43AF3">
        <w:t>fNRB</w:t>
      </w:r>
      <w:proofErr w:type="spellEnd"/>
      <w:r w:rsidRPr="00C43AF3">
        <w:t>, as plantations are managed and designed to be renewable.</w:t>
      </w:r>
    </w:p>
    <w:p w14:paraId="41554F4A" w14:textId="77777777" w:rsidR="00C43AF3" w:rsidRPr="00C43AF3" w:rsidRDefault="00C43AF3" w:rsidP="00C43AF3">
      <w:r w:rsidRPr="00C43AF3">
        <w:t>By lumping both sources together, the model contradicts this principle, distorting carbon accounting and penalizing community projects that are genuinely protecting or restoring natural ecosystems. These projects, many focused on clean cooking solutions like improved cookstoves, biogas, and safe drinking water, are left with reduced Certified Emission Reductions (CERs), despite their real impact on reducing forest degradation.</w:t>
      </w:r>
    </w:p>
    <w:p w14:paraId="00CF909F" w14:textId="77777777" w:rsidR="00C43AF3" w:rsidRPr="00C43AF3" w:rsidRDefault="00C43AF3" w:rsidP="00C43AF3">
      <w:r w:rsidRPr="00C43AF3">
        <w:t xml:space="preserve">We’ve conducted a detailed analysis using decades of publicly available data from the </w:t>
      </w:r>
      <w:r w:rsidRPr="00C43AF3">
        <w:rPr>
          <w:b/>
          <w:bCs/>
        </w:rPr>
        <w:t>Forest Survey of India (FSI)</w:t>
      </w:r>
      <w:r w:rsidRPr="00C43AF3">
        <w:t xml:space="preserve">—a government authority under the Ministry of Environment, Forest and Climate Change. The findings highlight a stark disconnect: while </w:t>
      </w:r>
      <w:proofErr w:type="spellStart"/>
      <w:r w:rsidRPr="00C43AF3">
        <w:t>MoFuSS</w:t>
      </w:r>
      <w:proofErr w:type="spellEnd"/>
      <w:r w:rsidRPr="00C43AF3">
        <w:t xml:space="preserve"> assumes that increasing plantation coverage meets rising biomass demand, FSI data shows a consistent decline in moderately dense forests (natural forests) and a steady increase in open forests (which are degraded or degrading).</w:t>
      </w:r>
    </w:p>
    <w:p w14:paraId="35EBC2DC" w14:textId="77777777" w:rsidR="00C43AF3" w:rsidRPr="00C43AF3" w:rsidRDefault="00C43AF3" w:rsidP="00C43AF3">
      <w:r w:rsidRPr="00C43AF3">
        <w:t>This clearly suggests that people are still harvesting wood from natural forests, not plantations. If plantations were genuinely meeting the demand, we’d expect to see recovery in natural forests—not the ongoing degradation that FSI reports show.</w:t>
      </w:r>
    </w:p>
    <w:p w14:paraId="309F3403" w14:textId="77777777" w:rsidR="00C43AF3" w:rsidRPr="00C43AF3" w:rsidRDefault="00C43AF3" w:rsidP="00C43AF3">
      <w:r w:rsidRPr="00C43AF3">
        <w:t xml:space="preserve">Currently, the model assigns a </w:t>
      </w:r>
      <w:r w:rsidRPr="00C43AF3">
        <w:rPr>
          <w:b/>
          <w:bCs/>
        </w:rPr>
        <w:t xml:space="preserve">default </w:t>
      </w:r>
      <w:proofErr w:type="spellStart"/>
      <w:r w:rsidRPr="00C43AF3">
        <w:rPr>
          <w:b/>
          <w:bCs/>
        </w:rPr>
        <w:t>fNRB</w:t>
      </w:r>
      <w:proofErr w:type="spellEnd"/>
      <w:r w:rsidRPr="00C43AF3">
        <w:rPr>
          <w:b/>
          <w:bCs/>
        </w:rPr>
        <w:t xml:space="preserve"> value of just 7% for India</w:t>
      </w:r>
      <w:r w:rsidRPr="00C43AF3">
        <w:t xml:space="preserve">, implying that 93% of biomass use is renewable. This is dangerously misleading. Degraded open forests now form a large portion of India’s forest landscape. If the majority of biomass truly came from </w:t>
      </w:r>
      <w:r w:rsidRPr="00C43AF3">
        <w:lastRenderedPageBreak/>
        <w:t>plantations, natural forests would not be shrinking. The model's assumptions don't match what’s happening on the ground.</w:t>
      </w:r>
    </w:p>
    <w:p w14:paraId="669B1DF8" w14:textId="77777777" w:rsidR="00C43AF3" w:rsidRPr="00C43AF3" w:rsidRDefault="00C43AF3" w:rsidP="00C43AF3">
      <w:r w:rsidRPr="00C43AF3">
        <w:t xml:space="preserve">This disconnect isn’t just a data issue—it’s a policy contradiction with real consequences. Under the earlier Tool 30, India’s </w:t>
      </w:r>
      <w:proofErr w:type="spellStart"/>
      <w:r w:rsidRPr="00C43AF3">
        <w:t>fNRB</w:t>
      </w:r>
      <w:proofErr w:type="spellEnd"/>
      <w:r w:rsidRPr="00C43AF3">
        <w:t xml:space="preserve"> values were in the range of </w:t>
      </w:r>
      <w:r w:rsidRPr="00C43AF3">
        <w:rPr>
          <w:b/>
          <w:bCs/>
        </w:rPr>
        <w:t>70%–90%</w:t>
      </w:r>
      <w:r w:rsidRPr="00C43AF3">
        <w:t>. If those figures were wrong, it would mean hundreds of projects have overestimated emissions reductions—a systemic failure in carbon mechanism oversight. But if today's 7% value is taken as correct, it renders most clean energy projects financially unviable, potentially halting progress in clean cooking and disincentivizing investment.</w:t>
      </w:r>
    </w:p>
    <w:p w14:paraId="67D9ACDA" w14:textId="77777777" w:rsidR="00C43AF3" w:rsidRPr="00C43AF3" w:rsidRDefault="00C43AF3" w:rsidP="00C43AF3">
      <w:r w:rsidRPr="00C43AF3">
        <w:t xml:space="preserve">Such a drastic drop is not a methodological improvement—it’s a shift that undermines the very goals of the </w:t>
      </w:r>
      <w:r w:rsidRPr="00C43AF3">
        <w:rPr>
          <w:b/>
          <w:bCs/>
        </w:rPr>
        <w:t>CDM and international climate commitments</w:t>
      </w:r>
      <w:r w:rsidRPr="00C43AF3">
        <w:t xml:space="preserve"> under the Paris Agreement. By conflating plantations with forests, the current methodology forces stakeholders to choose between two bad options: abandon clean cooking efforts or stall afforestation and sustainable land management.</w:t>
      </w:r>
    </w:p>
    <w:p w14:paraId="24C90768" w14:textId="77777777" w:rsidR="00C43AF3" w:rsidRPr="00C43AF3" w:rsidRDefault="00C43AF3" w:rsidP="00C43AF3">
      <w:r w:rsidRPr="00C43AF3">
        <w:t>We urge the Methodology Panel to address this issue by adopting one of the following corrective measures:</w:t>
      </w:r>
    </w:p>
    <w:p w14:paraId="4F2DDCF3" w14:textId="77777777" w:rsidR="00C43AF3" w:rsidRPr="00C43AF3" w:rsidRDefault="00C43AF3" w:rsidP="00C43AF3">
      <w:pPr>
        <w:numPr>
          <w:ilvl w:val="0"/>
          <w:numId w:val="3"/>
        </w:numPr>
      </w:pPr>
      <w:r w:rsidRPr="00C43AF3">
        <w:rPr>
          <w:b/>
          <w:bCs/>
        </w:rPr>
        <w:t xml:space="preserve">Revise the </w:t>
      </w:r>
      <w:proofErr w:type="spellStart"/>
      <w:r w:rsidRPr="00C43AF3">
        <w:rPr>
          <w:b/>
          <w:bCs/>
        </w:rPr>
        <w:t>MoFuSS</w:t>
      </w:r>
      <w:proofErr w:type="spellEnd"/>
      <w:r w:rsidRPr="00C43AF3">
        <w:rPr>
          <w:b/>
          <w:bCs/>
        </w:rPr>
        <w:t xml:space="preserve"> model</w:t>
      </w:r>
      <w:r w:rsidRPr="00C43AF3">
        <w:t xml:space="preserve"> to explicitly </w:t>
      </w:r>
      <w:r w:rsidRPr="00C43AF3">
        <w:rPr>
          <w:b/>
          <w:bCs/>
        </w:rPr>
        <w:t>exclude purpose-grown plantations and agroforestry systems</w:t>
      </w:r>
      <w:r w:rsidRPr="00C43AF3">
        <w:t xml:space="preserve"> from the renewable biomass supply pool, ensuring </w:t>
      </w:r>
      <w:proofErr w:type="spellStart"/>
      <w:r w:rsidRPr="00C43AF3">
        <w:t>fNRB</w:t>
      </w:r>
      <w:proofErr w:type="spellEnd"/>
      <w:r w:rsidRPr="00C43AF3">
        <w:t xml:space="preserve"> values reflect only extraction from natural forest ecosystems.</w:t>
      </w:r>
    </w:p>
    <w:p w14:paraId="2D822AA6" w14:textId="77777777" w:rsidR="00C43AF3" w:rsidRPr="00C43AF3" w:rsidRDefault="00C43AF3" w:rsidP="00C43AF3">
      <w:pPr>
        <w:numPr>
          <w:ilvl w:val="0"/>
          <w:numId w:val="3"/>
        </w:numPr>
      </w:pPr>
      <w:r w:rsidRPr="00C43AF3">
        <w:t xml:space="preserve">Where revising the model is not immediately feasible, </w:t>
      </w:r>
      <w:r w:rsidRPr="00C43AF3">
        <w:rPr>
          <w:b/>
          <w:bCs/>
        </w:rPr>
        <w:t xml:space="preserve">develop country-specific </w:t>
      </w:r>
      <w:proofErr w:type="spellStart"/>
      <w:r w:rsidRPr="00C43AF3">
        <w:rPr>
          <w:b/>
          <w:bCs/>
        </w:rPr>
        <w:t>fNRB</w:t>
      </w:r>
      <w:proofErr w:type="spellEnd"/>
      <w:r w:rsidRPr="00C43AF3">
        <w:rPr>
          <w:b/>
          <w:bCs/>
        </w:rPr>
        <w:t xml:space="preserve"> values</w:t>
      </w:r>
      <w:r w:rsidRPr="00C43AF3">
        <w:t xml:space="preserve"> grounded in </w:t>
      </w:r>
      <w:r w:rsidRPr="00C43AF3">
        <w:rPr>
          <w:b/>
          <w:bCs/>
        </w:rPr>
        <w:t>empirical evidence</w:t>
      </w:r>
      <w:r w:rsidRPr="00C43AF3">
        <w:t>, such as FSI’s biennial forest degradation data, to provide a more realistic and regionally appropriate estimate.</w:t>
      </w:r>
    </w:p>
    <w:p w14:paraId="75AAEA02" w14:textId="77777777" w:rsidR="00C43AF3" w:rsidRPr="00C43AF3" w:rsidRDefault="00C43AF3" w:rsidP="00C43AF3">
      <w:r w:rsidRPr="00C43AF3">
        <w:t xml:space="preserve">Accurate and fair </w:t>
      </w:r>
      <w:proofErr w:type="spellStart"/>
      <w:r w:rsidRPr="00C43AF3">
        <w:t>fNRB</w:t>
      </w:r>
      <w:proofErr w:type="spellEnd"/>
      <w:r w:rsidRPr="00C43AF3">
        <w:t xml:space="preserve"> accounting is critical to ensuring the credibility of emission reductions and sustaining momentum in climate action at the grassroots level.</w:t>
      </w:r>
    </w:p>
    <w:p w14:paraId="474D1E16" w14:textId="4887E8AF" w:rsidR="009F35B1" w:rsidRDefault="009F35B1" w:rsidP="00C43AF3"/>
    <w:sectPr w:rsidR="009F35B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A8217" w14:textId="77777777" w:rsidR="00AC6364" w:rsidRDefault="00AC6364" w:rsidP="009F35B1">
      <w:pPr>
        <w:spacing w:after="0" w:line="240" w:lineRule="auto"/>
      </w:pPr>
      <w:r>
        <w:separator/>
      </w:r>
    </w:p>
  </w:endnote>
  <w:endnote w:type="continuationSeparator" w:id="0">
    <w:p w14:paraId="72F16AE6" w14:textId="77777777" w:rsidR="00AC6364" w:rsidRDefault="00AC6364" w:rsidP="009F35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61B3B" w14:textId="77777777" w:rsidR="00AC6364" w:rsidRDefault="00AC6364" w:rsidP="009F35B1">
      <w:pPr>
        <w:spacing w:after="0" w:line="240" w:lineRule="auto"/>
      </w:pPr>
      <w:r>
        <w:separator/>
      </w:r>
    </w:p>
  </w:footnote>
  <w:footnote w:type="continuationSeparator" w:id="0">
    <w:p w14:paraId="77DD9615" w14:textId="77777777" w:rsidR="00AC6364" w:rsidRDefault="00AC6364" w:rsidP="009F35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9965DD"/>
    <w:multiLevelType w:val="multilevel"/>
    <w:tmpl w:val="2ADCC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2A616D8"/>
    <w:multiLevelType w:val="hybridMultilevel"/>
    <w:tmpl w:val="5AAA9F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255161"/>
    <w:multiLevelType w:val="hybridMultilevel"/>
    <w:tmpl w:val="66702C1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415519592">
    <w:abstractNumId w:val="2"/>
  </w:num>
  <w:num w:numId="2" w16cid:durableId="1501651624">
    <w:abstractNumId w:val="1"/>
  </w:num>
  <w:num w:numId="3" w16cid:durableId="451484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5B1"/>
    <w:rsid w:val="00021A44"/>
    <w:rsid w:val="00071F0A"/>
    <w:rsid w:val="00095C67"/>
    <w:rsid w:val="00197C8E"/>
    <w:rsid w:val="001E7ADA"/>
    <w:rsid w:val="00452DCF"/>
    <w:rsid w:val="004C6900"/>
    <w:rsid w:val="005A2374"/>
    <w:rsid w:val="005B5027"/>
    <w:rsid w:val="0064719A"/>
    <w:rsid w:val="00687734"/>
    <w:rsid w:val="00766779"/>
    <w:rsid w:val="007836AF"/>
    <w:rsid w:val="007E3D2E"/>
    <w:rsid w:val="00827FF0"/>
    <w:rsid w:val="008B5E5F"/>
    <w:rsid w:val="009511BA"/>
    <w:rsid w:val="009F35B1"/>
    <w:rsid w:val="00A90EFD"/>
    <w:rsid w:val="00AC6364"/>
    <w:rsid w:val="00B21BB7"/>
    <w:rsid w:val="00B91954"/>
    <w:rsid w:val="00C43AF3"/>
    <w:rsid w:val="00D05CDD"/>
    <w:rsid w:val="00D14C32"/>
    <w:rsid w:val="00D54819"/>
    <w:rsid w:val="00D6214F"/>
    <w:rsid w:val="00E52009"/>
    <w:rsid w:val="00E95B22"/>
    <w:rsid w:val="00F17426"/>
    <w:rsid w:val="00F411E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3B984"/>
  <w15:chartTrackingRefBased/>
  <w15:docId w15:val="{55B33E58-247D-4FCA-B09B-4E78977CD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A44"/>
    <w:pPr>
      <w:jc w:val="both"/>
    </w:pPr>
    <w:rPr>
      <w:rFonts w:ascii="Times New Roman" w:hAnsi="Times New Roman"/>
      <w:sz w:val="24"/>
    </w:rPr>
  </w:style>
  <w:style w:type="paragraph" w:styleId="Heading1">
    <w:name w:val="heading 1"/>
    <w:basedOn w:val="Normal"/>
    <w:next w:val="Normal"/>
    <w:link w:val="Heading1Char"/>
    <w:autoRedefine/>
    <w:uiPriority w:val="9"/>
    <w:qFormat/>
    <w:rsid w:val="00E52009"/>
    <w:pPr>
      <w:keepNext/>
      <w:keepLines/>
      <w:spacing w:before="240" w:after="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autoRedefine/>
    <w:uiPriority w:val="9"/>
    <w:semiHidden/>
    <w:unhideWhenUsed/>
    <w:qFormat/>
    <w:rsid w:val="00E52009"/>
    <w:pPr>
      <w:keepNext/>
      <w:keepLines/>
      <w:spacing w:before="40" w:after="0"/>
      <w:outlineLvl w:val="1"/>
    </w:pPr>
    <w:rPr>
      <w:rFonts w:asciiTheme="majorHAnsi" w:eastAsiaTheme="majorEastAsia" w:hAnsiTheme="majorHAnsi" w:cstheme="majorBidi"/>
      <w:b/>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2009"/>
    <w:rPr>
      <w:rFonts w:asciiTheme="majorHAnsi" w:eastAsiaTheme="majorEastAsia" w:hAnsiTheme="majorHAnsi" w:cstheme="majorBidi"/>
      <w:b/>
      <w:sz w:val="32"/>
      <w:szCs w:val="32"/>
    </w:rPr>
  </w:style>
  <w:style w:type="character" w:customStyle="1" w:styleId="Heading2Char">
    <w:name w:val="Heading 2 Char"/>
    <w:basedOn w:val="DefaultParagraphFont"/>
    <w:link w:val="Heading2"/>
    <w:uiPriority w:val="9"/>
    <w:semiHidden/>
    <w:rsid w:val="00E52009"/>
    <w:rPr>
      <w:rFonts w:asciiTheme="majorHAnsi" w:eastAsiaTheme="majorEastAsia" w:hAnsiTheme="majorHAnsi" w:cstheme="majorBidi"/>
      <w:b/>
      <w:sz w:val="26"/>
      <w:szCs w:val="26"/>
    </w:rPr>
  </w:style>
  <w:style w:type="paragraph" w:styleId="ListParagraph">
    <w:name w:val="List Paragraph"/>
    <w:basedOn w:val="Normal"/>
    <w:uiPriority w:val="34"/>
    <w:qFormat/>
    <w:rsid w:val="009F35B1"/>
    <w:pPr>
      <w:ind w:left="720"/>
      <w:contextualSpacing/>
    </w:pPr>
  </w:style>
  <w:style w:type="paragraph" w:styleId="FootnoteText">
    <w:name w:val="footnote text"/>
    <w:basedOn w:val="Normal"/>
    <w:link w:val="FootnoteTextChar"/>
    <w:uiPriority w:val="99"/>
    <w:semiHidden/>
    <w:unhideWhenUsed/>
    <w:rsid w:val="009F35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F35B1"/>
    <w:rPr>
      <w:rFonts w:ascii="Times New Roman" w:hAnsi="Times New Roman"/>
      <w:sz w:val="20"/>
      <w:szCs w:val="20"/>
    </w:rPr>
  </w:style>
  <w:style w:type="character" w:styleId="FootnoteReference">
    <w:name w:val="footnote reference"/>
    <w:basedOn w:val="DefaultParagraphFont"/>
    <w:uiPriority w:val="99"/>
    <w:semiHidden/>
    <w:unhideWhenUsed/>
    <w:rsid w:val="009F35B1"/>
    <w:rPr>
      <w:vertAlign w:val="superscript"/>
    </w:rPr>
  </w:style>
  <w:style w:type="character" w:styleId="Hyperlink">
    <w:name w:val="Hyperlink"/>
    <w:basedOn w:val="DefaultParagraphFont"/>
    <w:uiPriority w:val="99"/>
    <w:unhideWhenUsed/>
    <w:rsid w:val="009F35B1"/>
    <w:rPr>
      <w:color w:val="0563C1" w:themeColor="hyperlink"/>
      <w:u w:val="single"/>
    </w:rPr>
  </w:style>
  <w:style w:type="character" w:styleId="UnresolvedMention">
    <w:name w:val="Unresolved Mention"/>
    <w:basedOn w:val="DefaultParagraphFont"/>
    <w:uiPriority w:val="99"/>
    <w:semiHidden/>
    <w:unhideWhenUsed/>
    <w:rsid w:val="009F35B1"/>
    <w:rPr>
      <w:color w:val="605E5C"/>
      <w:shd w:val="clear" w:color="auto" w:fill="E1DFDD"/>
    </w:rPr>
  </w:style>
  <w:style w:type="paragraph" w:styleId="NormalWeb">
    <w:name w:val="Normal (Web)"/>
    <w:basedOn w:val="Normal"/>
    <w:uiPriority w:val="99"/>
    <w:semiHidden/>
    <w:unhideWhenUsed/>
    <w:rsid w:val="00C43AF3"/>
    <w:pPr>
      <w:spacing w:before="100" w:beforeAutospacing="1" w:after="100" w:afterAutospacing="1" w:line="240" w:lineRule="auto"/>
      <w:jc w:val="left"/>
    </w:pPr>
    <w:rPr>
      <w:rFonts w:eastAsia="Times New Roman" w:cs="Times New Roman"/>
      <w:szCs w:val="24"/>
      <w:lang w:eastAsia="en-IN"/>
    </w:rPr>
  </w:style>
  <w:style w:type="character" w:styleId="Strong">
    <w:name w:val="Strong"/>
    <w:basedOn w:val="DefaultParagraphFont"/>
    <w:uiPriority w:val="22"/>
    <w:qFormat/>
    <w:rsid w:val="00C43A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949903">
      <w:bodyDiv w:val="1"/>
      <w:marLeft w:val="0"/>
      <w:marRight w:val="0"/>
      <w:marTop w:val="0"/>
      <w:marBottom w:val="0"/>
      <w:divBdr>
        <w:top w:val="none" w:sz="0" w:space="0" w:color="auto"/>
        <w:left w:val="none" w:sz="0" w:space="0" w:color="auto"/>
        <w:bottom w:val="none" w:sz="0" w:space="0" w:color="auto"/>
        <w:right w:val="none" w:sz="0" w:space="0" w:color="auto"/>
      </w:divBdr>
    </w:div>
    <w:div w:id="739987796">
      <w:bodyDiv w:val="1"/>
      <w:marLeft w:val="0"/>
      <w:marRight w:val="0"/>
      <w:marTop w:val="0"/>
      <w:marBottom w:val="0"/>
      <w:divBdr>
        <w:top w:val="none" w:sz="0" w:space="0" w:color="auto"/>
        <w:left w:val="none" w:sz="0" w:space="0" w:color="auto"/>
        <w:bottom w:val="none" w:sz="0" w:space="0" w:color="auto"/>
        <w:right w:val="none" w:sz="0" w:space="0" w:color="auto"/>
      </w:divBdr>
    </w:div>
    <w:div w:id="1060056421">
      <w:bodyDiv w:val="1"/>
      <w:marLeft w:val="0"/>
      <w:marRight w:val="0"/>
      <w:marTop w:val="0"/>
      <w:marBottom w:val="0"/>
      <w:divBdr>
        <w:top w:val="none" w:sz="0" w:space="0" w:color="auto"/>
        <w:left w:val="none" w:sz="0" w:space="0" w:color="auto"/>
        <w:bottom w:val="none" w:sz="0" w:space="0" w:color="auto"/>
        <w:right w:val="none" w:sz="0" w:space="0" w:color="auto"/>
      </w:divBdr>
    </w:div>
    <w:div w:id="1415395740">
      <w:bodyDiv w:val="1"/>
      <w:marLeft w:val="0"/>
      <w:marRight w:val="0"/>
      <w:marTop w:val="0"/>
      <w:marBottom w:val="0"/>
      <w:divBdr>
        <w:top w:val="none" w:sz="0" w:space="0" w:color="auto"/>
        <w:left w:val="none" w:sz="0" w:space="0" w:color="auto"/>
        <w:bottom w:val="none" w:sz="0" w:space="0" w:color="auto"/>
        <w:right w:val="none" w:sz="0" w:space="0" w:color="auto"/>
      </w:divBdr>
    </w:div>
    <w:div w:id="1487546419">
      <w:bodyDiv w:val="1"/>
      <w:marLeft w:val="0"/>
      <w:marRight w:val="0"/>
      <w:marTop w:val="0"/>
      <w:marBottom w:val="0"/>
      <w:divBdr>
        <w:top w:val="none" w:sz="0" w:space="0" w:color="auto"/>
        <w:left w:val="none" w:sz="0" w:space="0" w:color="auto"/>
        <w:bottom w:val="none" w:sz="0" w:space="0" w:color="auto"/>
        <w:right w:val="none" w:sz="0" w:space="0" w:color="auto"/>
      </w:divBdr>
    </w:div>
    <w:div w:id="1774133196">
      <w:bodyDiv w:val="1"/>
      <w:marLeft w:val="0"/>
      <w:marRight w:val="0"/>
      <w:marTop w:val="0"/>
      <w:marBottom w:val="0"/>
      <w:divBdr>
        <w:top w:val="none" w:sz="0" w:space="0" w:color="auto"/>
        <w:left w:val="none" w:sz="0" w:space="0" w:color="auto"/>
        <w:bottom w:val="none" w:sz="0" w:space="0" w:color="auto"/>
        <w:right w:val="none" w:sz="0" w:space="0" w:color="auto"/>
      </w:divBdr>
    </w:div>
    <w:div w:id="213143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charts/_rels/chart1.xml.rels><?xml version="1.0" encoding="UTF-8" standalone="yes"?>
<Relationships xmlns="http://schemas.openxmlformats.org/package/2006/relationships"><Relationship Id="rId3" Type="http://schemas.openxmlformats.org/officeDocument/2006/relationships/oleObject" Target="file:///Z:\Shared%20with%20Me\Anand%20Sharma\1%20Nas%20Team%20Data\Extra%20Work\fnrb%20response%20July%202024\understanding%20forest%20cover_Pradeep.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Times New Roman" panose="02020603050405020304" pitchFamily="18" charset="0"/>
                <a:ea typeface="+mj-ea"/>
                <a:cs typeface="Times New Roman" panose="02020603050405020304" pitchFamily="18" charset="0"/>
              </a:defRPr>
            </a:pPr>
            <a:r>
              <a:rPr lang="en-IN"/>
              <a:t>Forest Trend in India</a:t>
            </a:r>
          </a:p>
        </c:rich>
      </c:tx>
      <c:overlay val="0"/>
      <c:spPr>
        <a:noFill/>
        <a:ln>
          <a:noFill/>
        </a:ln>
        <a:effectLst/>
      </c:spPr>
      <c:txPr>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Times New Roman" panose="02020603050405020304" pitchFamily="18" charset="0"/>
              <a:ea typeface="+mj-ea"/>
              <a:cs typeface="Times New Roman" panose="02020603050405020304" pitchFamily="18" charset="0"/>
            </a:defRPr>
          </a:pPr>
          <a:endParaRPr lang="en-US"/>
        </a:p>
      </c:txPr>
    </c:title>
    <c:autoTitleDeleted val="0"/>
    <c:plotArea>
      <c:layout>
        <c:manualLayout>
          <c:layoutTarget val="inner"/>
          <c:xMode val="edge"/>
          <c:yMode val="edge"/>
          <c:x val="0.12549450319374825"/>
          <c:y val="9.6589972467250068E-2"/>
          <c:w val="0.84569982430458968"/>
          <c:h val="0.71494046262034616"/>
        </c:manualLayout>
      </c:layout>
      <c:lineChart>
        <c:grouping val="standard"/>
        <c:varyColors val="0"/>
        <c:ser>
          <c:idx val="1"/>
          <c:order val="1"/>
          <c:tx>
            <c:strRef>
              <c:f>Sheet1!$F$23</c:f>
              <c:strCache>
                <c:ptCount val="1"/>
                <c:pt idx="0">
                  <c:v> Moderate Dense forest cover </c:v>
                </c:pt>
              </c:strCache>
            </c:strRef>
          </c:tx>
          <c:spPr>
            <a:ln w="38100" cap="rnd">
              <a:solidFill>
                <a:schemeClr val="accent2"/>
              </a:solidFill>
              <a:round/>
            </a:ln>
            <a:effectLst/>
          </c:spPr>
          <c:marker>
            <c:symbol val="none"/>
          </c:marker>
          <c:cat>
            <c:numRef>
              <c:f>Sheet1!$D$24:$D$33</c:f>
              <c:numCache>
                <c:formatCode>General</c:formatCode>
                <c:ptCount val="10"/>
                <c:pt idx="0">
                  <c:v>2003</c:v>
                </c:pt>
                <c:pt idx="1">
                  <c:v>2005</c:v>
                </c:pt>
                <c:pt idx="2">
                  <c:v>2007</c:v>
                </c:pt>
                <c:pt idx="3">
                  <c:v>2009</c:v>
                </c:pt>
                <c:pt idx="4">
                  <c:v>2011</c:v>
                </c:pt>
                <c:pt idx="5">
                  <c:v>2013</c:v>
                </c:pt>
                <c:pt idx="6">
                  <c:v>2015</c:v>
                </c:pt>
                <c:pt idx="7">
                  <c:v>2017</c:v>
                </c:pt>
                <c:pt idx="8">
                  <c:v>2019</c:v>
                </c:pt>
                <c:pt idx="9">
                  <c:v>2021</c:v>
                </c:pt>
              </c:numCache>
            </c:numRef>
          </c:cat>
          <c:val>
            <c:numRef>
              <c:f>Sheet1!$F$24:$F$33</c:f>
              <c:numCache>
                <c:formatCode>_ * #,##0_ ;_ * \-#,##0_ ;_ * "-"??_ ;_ @_ </c:formatCode>
                <c:ptCount val="10"/>
                <c:pt idx="0">
                  <c:v>339279</c:v>
                </c:pt>
                <c:pt idx="1">
                  <c:v>332647</c:v>
                </c:pt>
                <c:pt idx="2">
                  <c:v>319012</c:v>
                </c:pt>
                <c:pt idx="3">
                  <c:v>319012</c:v>
                </c:pt>
                <c:pt idx="4">
                  <c:v>320736</c:v>
                </c:pt>
                <c:pt idx="5">
                  <c:v>318745</c:v>
                </c:pt>
                <c:pt idx="6">
                  <c:v>315374</c:v>
                </c:pt>
                <c:pt idx="7">
                  <c:v>308318</c:v>
                </c:pt>
                <c:pt idx="8">
                  <c:v>308472</c:v>
                </c:pt>
                <c:pt idx="9">
                  <c:v>306890</c:v>
                </c:pt>
              </c:numCache>
            </c:numRef>
          </c:val>
          <c:smooth val="0"/>
          <c:extLst>
            <c:ext xmlns:c16="http://schemas.microsoft.com/office/drawing/2014/chart" uri="{C3380CC4-5D6E-409C-BE32-E72D297353CC}">
              <c16:uniqueId val="{00000000-E7C9-43CE-BBF0-417F1E0F8541}"/>
            </c:ext>
          </c:extLst>
        </c:ser>
        <c:ser>
          <c:idx val="2"/>
          <c:order val="2"/>
          <c:tx>
            <c:strRef>
              <c:f>Sheet1!$G$23</c:f>
              <c:strCache>
                <c:ptCount val="1"/>
                <c:pt idx="0">
                  <c:v> Open forest cover </c:v>
                </c:pt>
              </c:strCache>
            </c:strRef>
          </c:tx>
          <c:spPr>
            <a:ln w="38100" cap="rnd">
              <a:solidFill>
                <a:schemeClr val="accent3"/>
              </a:solidFill>
              <a:round/>
            </a:ln>
            <a:effectLst/>
          </c:spPr>
          <c:marker>
            <c:symbol val="none"/>
          </c:marker>
          <c:cat>
            <c:numRef>
              <c:f>Sheet1!$D$24:$D$33</c:f>
              <c:numCache>
                <c:formatCode>General</c:formatCode>
                <c:ptCount val="10"/>
                <c:pt idx="0">
                  <c:v>2003</c:v>
                </c:pt>
                <c:pt idx="1">
                  <c:v>2005</c:v>
                </c:pt>
                <c:pt idx="2">
                  <c:v>2007</c:v>
                </c:pt>
                <c:pt idx="3">
                  <c:v>2009</c:v>
                </c:pt>
                <c:pt idx="4">
                  <c:v>2011</c:v>
                </c:pt>
                <c:pt idx="5">
                  <c:v>2013</c:v>
                </c:pt>
                <c:pt idx="6">
                  <c:v>2015</c:v>
                </c:pt>
                <c:pt idx="7">
                  <c:v>2017</c:v>
                </c:pt>
                <c:pt idx="8">
                  <c:v>2019</c:v>
                </c:pt>
                <c:pt idx="9">
                  <c:v>2021</c:v>
                </c:pt>
              </c:numCache>
            </c:numRef>
          </c:cat>
          <c:val>
            <c:numRef>
              <c:f>Sheet1!$G$24:$G$33</c:f>
              <c:numCache>
                <c:formatCode>_ * #,##0_ ;_ * \-#,##0_ ;_ * "-"??_ ;_ @_ </c:formatCode>
                <c:ptCount val="10"/>
                <c:pt idx="0">
                  <c:v>287769</c:v>
                </c:pt>
                <c:pt idx="1">
                  <c:v>289872</c:v>
                </c:pt>
                <c:pt idx="2">
                  <c:v>288377</c:v>
                </c:pt>
                <c:pt idx="3">
                  <c:v>288377</c:v>
                </c:pt>
                <c:pt idx="4">
                  <c:v>287820</c:v>
                </c:pt>
                <c:pt idx="5">
                  <c:v>295651</c:v>
                </c:pt>
                <c:pt idx="6">
                  <c:v>300395</c:v>
                </c:pt>
                <c:pt idx="7">
                  <c:v>301797</c:v>
                </c:pt>
                <c:pt idx="8">
                  <c:v>304499</c:v>
                </c:pt>
                <c:pt idx="9">
                  <c:v>307120</c:v>
                </c:pt>
              </c:numCache>
            </c:numRef>
          </c:val>
          <c:smooth val="0"/>
          <c:extLst>
            <c:ext xmlns:c16="http://schemas.microsoft.com/office/drawing/2014/chart" uri="{C3380CC4-5D6E-409C-BE32-E72D297353CC}">
              <c16:uniqueId val="{00000001-E7C9-43CE-BBF0-417F1E0F8541}"/>
            </c:ext>
          </c:extLst>
        </c:ser>
        <c:dLbls>
          <c:showLegendKey val="0"/>
          <c:showVal val="0"/>
          <c:showCatName val="0"/>
          <c:showSerName val="0"/>
          <c:showPercent val="0"/>
          <c:showBubbleSize val="0"/>
        </c:dLbls>
        <c:smooth val="0"/>
        <c:axId val="1072393008"/>
        <c:axId val="1072393840"/>
        <c:extLst>
          <c:ext xmlns:c15="http://schemas.microsoft.com/office/drawing/2012/chart" uri="{02D57815-91ED-43cb-92C2-25804820EDAC}">
            <c15:filteredLineSeries>
              <c15:ser>
                <c:idx val="0"/>
                <c:order val="0"/>
                <c:tx>
                  <c:strRef>
                    <c:extLst>
                      <c:ext uri="{02D57815-91ED-43cb-92C2-25804820EDAC}">
                        <c15:formulaRef>
                          <c15:sqref>Sheet1!$E$23</c15:sqref>
                        </c15:formulaRef>
                      </c:ext>
                    </c:extLst>
                    <c:strCache>
                      <c:ptCount val="1"/>
                      <c:pt idx="0">
                        <c:v> Very Dense forest cover </c:v>
                      </c:pt>
                    </c:strCache>
                  </c:strRef>
                </c:tx>
                <c:spPr>
                  <a:ln w="38100" cap="rnd">
                    <a:solidFill>
                      <a:schemeClr val="accent1"/>
                    </a:solidFill>
                    <a:round/>
                  </a:ln>
                  <a:effectLst/>
                </c:spPr>
                <c:marker>
                  <c:symbol val="none"/>
                </c:marker>
                <c:cat>
                  <c:numRef>
                    <c:extLst>
                      <c:ext uri="{02D57815-91ED-43cb-92C2-25804820EDAC}">
                        <c15:formulaRef>
                          <c15:sqref>Sheet1!$D$24:$D$33</c15:sqref>
                        </c15:formulaRef>
                      </c:ext>
                    </c:extLst>
                    <c:numCache>
                      <c:formatCode>General</c:formatCode>
                      <c:ptCount val="10"/>
                      <c:pt idx="0">
                        <c:v>2003</c:v>
                      </c:pt>
                      <c:pt idx="1">
                        <c:v>2005</c:v>
                      </c:pt>
                      <c:pt idx="2">
                        <c:v>2007</c:v>
                      </c:pt>
                      <c:pt idx="3">
                        <c:v>2009</c:v>
                      </c:pt>
                      <c:pt idx="4">
                        <c:v>2011</c:v>
                      </c:pt>
                      <c:pt idx="5">
                        <c:v>2013</c:v>
                      </c:pt>
                      <c:pt idx="6">
                        <c:v>2015</c:v>
                      </c:pt>
                      <c:pt idx="7">
                        <c:v>2017</c:v>
                      </c:pt>
                      <c:pt idx="8">
                        <c:v>2019</c:v>
                      </c:pt>
                      <c:pt idx="9">
                        <c:v>2021</c:v>
                      </c:pt>
                    </c:numCache>
                  </c:numRef>
                </c:cat>
                <c:val>
                  <c:numRef>
                    <c:extLst>
                      <c:ext uri="{02D57815-91ED-43cb-92C2-25804820EDAC}">
                        <c15:formulaRef>
                          <c15:sqref>Sheet1!$E$24:$E$33</c15:sqref>
                        </c15:formulaRef>
                      </c:ext>
                    </c:extLst>
                    <c:numCache>
                      <c:formatCode>_ * #,##0_ ;_ * \-#,##0_ ;_ * "-"??_ ;_ @_ </c:formatCode>
                      <c:ptCount val="10"/>
                      <c:pt idx="0">
                        <c:v>51285</c:v>
                      </c:pt>
                      <c:pt idx="1">
                        <c:v>54569</c:v>
                      </c:pt>
                      <c:pt idx="2">
                        <c:v>83510</c:v>
                      </c:pt>
                      <c:pt idx="3">
                        <c:v>83510</c:v>
                      </c:pt>
                      <c:pt idx="4">
                        <c:v>83471</c:v>
                      </c:pt>
                      <c:pt idx="5">
                        <c:v>83502</c:v>
                      </c:pt>
                      <c:pt idx="6">
                        <c:v>85904</c:v>
                      </c:pt>
                      <c:pt idx="7">
                        <c:v>98158</c:v>
                      </c:pt>
                      <c:pt idx="8">
                        <c:v>99278</c:v>
                      </c:pt>
                      <c:pt idx="9">
                        <c:v>99779</c:v>
                      </c:pt>
                    </c:numCache>
                  </c:numRef>
                </c:val>
                <c:smooth val="0"/>
                <c:extLst>
                  <c:ext xmlns:c16="http://schemas.microsoft.com/office/drawing/2014/chart" uri="{C3380CC4-5D6E-409C-BE32-E72D297353CC}">
                    <c16:uniqueId val="{00000002-E7C9-43CE-BBF0-417F1E0F8541}"/>
                  </c:ext>
                </c:extLst>
              </c15:ser>
            </c15:filteredLineSeries>
            <c15:filteredLineSeries>
              <c15:ser>
                <c:idx val="3"/>
                <c:order val="3"/>
                <c:tx>
                  <c:strRef>
                    <c:extLst xmlns:c15="http://schemas.microsoft.com/office/drawing/2012/chart">
                      <c:ext xmlns:c15="http://schemas.microsoft.com/office/drawing/2012/chart" uri="{02D57815-91ED-43cb-92C2-25804820EDAC}">
                        <c15:formulaRef>
                          <c15:sqref>Sheet1!$H$23</c15:sqref>
                        </c15:formulaRef>
                      </c:ext>
                    </c:extLst>
                    <c:strCache>
                      <c:ptCount val="1"/>
                      <c:pt idx="0">
                        <c:v> Total forest cover </c:v>
                      </c:pt>
                    </c:strCache>
                  </c:strRef>
                </c:tx>
                <c:spPr>
                  <a:ln w="38100" cap="rnd">
                    <a:solidFill>
                      <a:schemeClr val="accent4"/>
                    </a:solidFill>
                    <a:round/>
                  </a:ln>
                  <a:effectLst/>
                </c:spPr>
                <c:marker>
                  <c:symbol val="none"/>
                </c:marker>
                <c:cat>
                  <c:numRef>
                    <c:extLst xmlns:c15="http://schemas.microsoft.com/office/drawing/2012/chart">
                      <c:ext xmlns:c15="http://schemas.microsoft.com/office/drawing/2012/chart" uri="{02D57815-91ED-43cb-92C2-25804820EDAC}">
                        <c15:formulaRef>
                          <c15:sqref>Sheet1!$D$24:$D$33</c15:sqref>
                        </c15:formulaRef>
                      </c:ext>
                    </c:extLst>
                    <c:numCache>
                      <c:formatCode>General</c:formatCode>
                      <c:ptCount val="10"/>
                      <c:pt idx="0">
                        <c:v>2003</c:v>
                      </c:pt>
                      <c:pt idx="1">
                        <c:v>2005</c:v>
                      </c:pt>
                      <c:pt idx="2">
                        <c:v>2007</c:v>
                      </c:pt>
                      <c:pt idx="3">
                        <c:v>2009</c:v>
                      </c:pt>
                      <c:pt idx="4">
                        <c:v>2011</c:v>
                      </c:pt>
                      <c:pt idx="5">
                        <c:v>2013</c:v>
                      </c:pt>
                      <c:pt idx="6">
                        <c:v>2015</c:v>
                      </c:pt>
                      <c:pt idx="7">
                        <c:v>2017</c:v>
                      </c:pt>
                      <c:pt idx="8">
                        <c:v>2019</c:v>
                      </c:pt>
                      <c:pt idx="9">
                        <c:v>2021</c:v>
                      </c:pt>
                    </c:numCache>
                  </c:numRef>
                </c:cat>
                <c:val>
                  <c:numRef>
                    <c:extLst xmlns:c15="http://schemas.microsoft.com/office/drawing/2012/chart">
                      <c:ext xmlns:c15="http://schemas.microsoft.com/office/drawing/2012/chart" uri="{02D57815-91ED-43cb-92C2-25804820EDAC}">
                        <c15:formulaRef>
                          <c15:sqref>Sheet1!$H$24:$H$33</c15:sqref>
                        </c15:formulaRef>
                      </c:ext>
                    </c:extLst>
                    <c:numCache>
                      <c:formatCode>_ * #,##0_ ;_ * \-#,##0_ ;_ * "-"??_ ;_ @_ </c:formatCode>
                      <c:ptCount val="10"/>
                      <c:pt idx="0">
                        <c:v>678333</c:v>
                      </c:pt>
                      <c:pt idx="1">
                        <c:v>677088</c:v>
                      </c:pt>
                      <c:pt idx="2">
                        <c:v>690899</c:v>
                      </c:pt>
                      <c:pt idx="3">
                        <c:v>690899</c:v>
                      </c:pt>
                      <c:pt idx="4">
                        <c:v>692027</c:v>
                      </c:pt>
                      <c:pt idx="5">
                        <c:v>697898</c:v>
                      </c:pt>
                      <c:pt idx="6">
                        <c:v>701673</c:v>
                      </c:pt>
                      <c:pt idx="7">
                        <c:v>708273</c:v>
                      </c:pt>
                      <c:pt idx="8">
                        <c:v>712249</c:v>
                      </c:pt>
                      <c:pt idx="9">
                        <c:v>713789</c:v>
                      </c:pt>
                    </c:numCache>
                  </c:numRef>
                </c:val>
                <c:smooth val="0"/>
                <c:extLst xmlns:c15="http://schemas.microsoft.com/office/drawing/2012/chart">
                  <c:ext xmlns:c16="http://schemas.microsoft.com/office/drawing/2014/chart" uri="{C3380CC4-5D6E-409C-BE32-E72D297353CC}">
                    <c16:uniqueId val="{00000003-E7C9-43CE-BBF0-417F1E0F8541}"/>
                  </c:ext>
                </c:extLst>
              </c15:ser>
            </c15:filteredLineSeries>
            <c15:filteredLineSeries>
              <c15:ser>
                <c:idx val="4"/>
                <c:order val="4"/>
                <c:tx>
                  <c:strRef>
                    <c:extLst xmlns:c15="http://schemas.microsoft.com/office/drawing/2012/chart">
                      <c:ext xmlns:c15="http://schemas.microsoft.com/office/drawing/2012/chart" uri="{02D57815-91ED-43cb-92C2-25804820EDAC}">
                        <c15:formulaRef>
                          <c15:sqref>Sheet1!$I$23</c15:sqref>
                        </c15:formulaRef>
                      </c:ext>
                    </c:extLst>
                    <c:strCache>
                      <c:ptCount val="1"/>
                      <c:pt idx="0">
                        <c:v> Tree cover </c:v>
                      </c:pt>
                    </c:strCache>
                  </c:strRef>
                </c:tx>
                <c:spPr>
                  <a:ln w="38100" cap="rnd">
                    <a:solidFill>
                      <a:schemeClr val="accent5"/>
                    </a:solidFill>
                    <a:round/>
                  </a:ln>
                  <a:effectLst/>
                </c:spPr>
                <c:marker>
                  <c:symbol val="none"/>
                </c:marker>
                <c:cat>
                  <c:numRef>
                    <c:extLst xmlns:c15="http://schemas.microsoft.com/office/drawing/2012/chart">
                      <c:ext xmlns:c15="http://schemas.microsoft.com/office/drawing/2012/chart" uri="{02D57815-91ED-43cb-92C2-25804820EDAC}">
                        <c15:formulaRef>
                          <c15:sqref>Sheet1!$D$24:$D$33</c15:sqref>
                        </c15:formulaRef>
                      </c:ext>
                    </c:extLst>
                    <c:numCache>
                      <c:formatCode>General</c:formatCode>
                      <c:ptCount val="10"/>
                      <c:pt idx="0">
                        <c:v>2003</c:v>
                      </c:pt>
                      <c:pt idx="1">
                        <c:v>2005</c:v>
                      </c:pt>
                      <c:pt idx="2">
                        <c:v>2007</c:v>
                      </c:pt>
                      <c:pt idx="3">
                        <c:v>2009</c:v>
                      </c:pt>
                      <c:pt idx="4">
                        <c:v>2011</c:v>
                      </c:pt>
                      <c:pt idx="5">
                        <c:v>2013</c:v>
                      </c:pt>
                      <c:pt idx="6">
                        <c:v>2015</c:v>
                      </c:pt>
                      <c:pt idx="7">
                        <c:v>2017</c:v>
                      </c:pt>
                      <c:pt idx="8">
                        <c:v>2019</c:v>
                      </c:pt>
                      <c:pt idx="9">
                        <c:v>2021</c:v>
                      </c:pt>
                    </c:numCache>
                  </c:numRef>
                </c:cat>
                <c:val>
                  <c:numRef>
                    <c:extLst xmlns:c15="http://schemas.microsoft.com/office/drawing/2012/chart">
                      <c:ext xmlns:c15="http://schemas.microsoft.com/office/drawing/2012/chart" uri="{02D57815-91ED-43cb-92C2-25804820EDAC}">
                        <c15:formulaRef>
                          <c15:sqref>Sheet1!$I$24:$I$33</c15:sqref>
                        </c15:formulaRef>
                      </c:ext>
                    </c:extLst>
                    <c:numCache>
                      <c:formatCode>General</c:formatCode>
                      <c:ptCount val="10"/>
                    </c:numCache>
                  </c:numRef>
                </c:val>
                <c:smooth val="0"/>
                <c:extLst xmlns:c15="http://schemas.microsoft.com/office/drawing/2012/chart">
                  <c:ext xmlns:c16="http://schemas.microsoft.com/office/drawing/2014/chart" uri="{C3380CC4-5D6E-409C-BE32-E72D297353CC}">
                    <c16:uniqueId val="{00000004-E7C9-43CE-BBF0-417F1E0F8541}"/>
                  </c:ext>
                </c:extLst>
              </c15:ser>
            </c15:filteredLineSeries>
            <c15:filteredLineSeries>
              <c15:ser>
                <c:idx val="5"/>
                <c:order val="5"/>
                <c:tx>
                  <c:strRef>
                    <c:extLst xmlns:c15="http://schemas.microsoft.com/office/drawing/2012/chart">
                      <c:ext xmlns:c15="http://schemas.microsoft.com/office/drawing/2012/chart" uri="{02D57815-91ED-43cb-92C2-25804820EDAC}">
                        <c15:formulaRef>
                          <c15:sqref>Sheet1!$J$23</c15:sqref>
                        </c15:formulaRef>
                      </c:ext>
                    </c:extLst>
                    <c:strCache>
                      <c:ptCount val="1"/>
                      <c:pt idx="0">
                        <c:v> Tree outside forest cover </c:v>
                      </c:pt>
                    </c:strCache>
                  </c:strRef>
                </c:tx>
                <c:spPr>
                  <a:ln w="38100" cap="rnd">
                    <a:solidFill>
                      <a:schemeClr val="accent6"/>
                    </a:solidFill>
                    <a:round/>
                  </a:ln>
                  <a:effectLst/>
                </c:spPr>
                <c:marker>
                  <c:symbol val="none"/>
                </c:marker>
                <c:cat>
                  <c:numRef>
                    <c:extLst xmlns:c15="http://schemas.microsoft.com/office/drawing/2012/chart">
                      <c:ext xmlns:c15="http://schemas.microsoft.com/office/drawing/2012/chart" uri="{02D57815-91ED-43cb-92C2-25804820EDAC}">
                        <c15:formulaRef>
                          <c15:sqref>Sheet1!$D$24:$D$33</c15:sqref>
                        </c15:formulaRef>
                      </c:ext>
                    </c:extLst>
                    <c:numCache>
                      <c:formatCode>General</c:formatCode>
                      <c:ptCount val="10"/>
                      <c:pt idx="0">
                        <c:v>2003</c:v>
                      </c:pt>
                      <c:pt idx="1">
                        <c:v>2005</c:v>
                      </c:pt>
                      <c:pt idx="2">
                        <c:v>2007</c:v>
                      </c:pt>
                      <c:pt idx="3">
                        <c:v>2009</c:v>
                      </c:pt>
                      <c:pt idx="4">
                        <c:v>2011</c:v>
                      </c:pt>
                      <c:pt idx="5">
                        <c:v>2013</c:v>
                      </c:pt>
                      <c:pt idx="6">
                        <c:v>2015</c:v>
                      </c:pt>
                      <c:pt idx="7">
                        <c:v>2017</c:v>
                      </c:pt>
                      <c:pt idx="8">
                        <c:v>2019</c:v>
                      </c:pt>
                      <c:pt idx="9">
                        <c:v>2021</c:v>
                      </c:pt>
                    </c:numCache>
                  </c:numRef>
                </c:cat>
                <c:val>
                  <c:numRef>
                    <c:extLst xmlns:c15="http://schemas.microsoft.com/office/drawing/2012/chart">
                      <c:ext xmlns:c15="http://schemas.microsoft.com/office/drawing/2012/chart" uri="{02D57815-91ED-43cb-92C2-25804820EDAC}">
                        <c15:formulaRef>
                          <c15:sqref>Sheet1!$J$24:$J$33</c15:sqref>
                        </c15:formulaRef>
                      </c:ext>
                    </c:extLst>
                    <c:numCache>
                      <c:formatCode>General</c:formatCode>
                      <c:ptCount val="10"/>
                      <c:pt idx="2" formatCode="_ * #,##0_ ;_ * \-#,##0_ ;_ * &quot;-&quot;??_ ;_ @_ ">
                        <c:v>2554839</c:v>
                      </c:pt>
                      <c:pt idx="3" formatCode="_ * #,##0_ ;_ * \-#,##0_ ;_ * &quot;-&quot;??_ ;_ @_ ">
                        <c:v>2554839</c:v>
                      </c:pt>
                      <c:pt idx="4" formatCode="_ * #,##0_ ;_ * \-#,##0_ ;_ * &quot;-&quot;??_ ;_ @_ ">
                        <c:v>2553060</c:v>
                      </c:pt>
                      <c:pt idx="5" formatCode="_ * #,##0_ ;_ * \-#,##0_ ;_ * &quot;-&quot;??_ ;_ @_ ">
                        <c:v>2547982</c:v>
                      </c:pt>
                      <c:pt idx="6" formatCode="_ * #,##0_ ;_ * \-#,##0_ ;_ * &quot;-&quot;??_ ;_ @_ ">
                        <c:v>2554228</c:v>
                      </c:pt>
                      <c:pt idx="7" formatCode="_ * #,##0_ ;_ * \-#,##0_ ;_ * &quot;-&quot;??_ ;_ @_ ">
                        <c:v>2533217</c:v>
                      </c:pt>
                      <c:pt idx="8" formatCode="_ * #,##0_ ;_ * \-#,##0_ ;_ * &quot;-&quot;??_ ;_ @_ ">
                        <c:v>2515413</c:v>
                      </c:pt>
                      <c:pt idx="9" formatCode="_ * #,##0_ ;_ * \-#,##0_ ;_ * &quot;-&quot;??_ ;_ @_ ">
                        <c:v>2517874</c:v>
                      </c:pt>
                    </c:numCache>
                  </c:numRef>
                </c:val>
                <c:smooth val="0"/>
                <c:extLst xmlns:c15="http://schemas.microsoft.com/office/drawing/2012/chart">
                  <c:ext xmlns:c16="http://schemas.microsoft.com/office/drawing/2014/chart" uri="{C3380CC4-5D6E-409C-BE32-E72D297353CC}">
                    <c16:uniqueId val="{00000005-E7C9-43CE-BBF0-417F1E0F8541}"/>
                  </c:ext>
                </c:extLst>
              </c15:ser>
            </c15:filteredLineSeries>
          </c:ext>
        </c:extLst>
      </c:lineChart>
      <c:catAx>
        <c:axId val="1072393008"/>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year</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72393840"/>
        <c:crosses val="autoZero"/>
        <c:auto val="1"/>
        <c:lblAlgn val="ctr"/>
        <c:lblOffset val="100"/>
        <c:noMultiLvlLbl val="0"/>
      </c:catAx>
      <c:valAx>
        <c:axId val="1072393840"/>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land area in (sq km)</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_ * #,##0_ ;_ * \-#,##0_ ;_ * &quot;-&quot;??_ ;_ @_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72393008"/>
        <c:crosses val="autoZero"/>
        <c:crossBetween val="between"/>
      </c:valAx>
      <c:spPr>
        <a:noFill/>
        <a:ln>
          <a:noFill/>
        </a:ln>
        <a:effectLst/>
      </c:spPr>
    </c:plotArea>
    <c:legend>
      <c:legendPos val="t"/>
      <c:layout>
        <c:manualLayout>
          <c:xMode val="edge"/>
          <c:yMode val="edge"/>
          <c:x val="0.18891321833164385"/>
          <c:y val="0.92425775564246004"/>
          <c:w val="0.60001517924595782"/>
          <c:h val="5.8891441465139797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DAD9D79384FEB4586EB9780EFA83EF3" ma:contentTypeVersion="18" ma:contentTypeDescription="Create a new document." ma:contentTypeScope="" ma:versionID="beefdceb3859dfcdfb1ccb155a773e81">
  <xsd:schema xmlns:xsd="http://www.w3.org/2001/XMLSchema" xmlns:xs="http://www.w3.org/2001/XMLSchema" xmlns:p="http://schemas.microsoft.com/office/2006/metadata/properties" xmlns:ns3="2268cf45-2748-4821-b15f-7f37154078de" xmlns:ns4="9e932a25-9e2a-4a45-9a74-784c4777649b" targetNamespace="http://schemas.microsoft.com/office/2006/metadata/properties" ma:root="true" ma:fieldsID="b7cb371abef6700dc08c092cec6b9ce8" ns3:_="" ns4:_="">
    <xsd:import namespace="2268cf45-2748-4821-b15f-7f37154078de"/>
    <xsd:import namespace="9e932a25-9e2a-4a45-9a74-784c4777649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_activity" minOccurs="0"/>
                <xsd:element ref="ns3:MediaServiceObjectDetectorVersions" minOccurs="0"/>
                <xsd:element ref="ns3:MediaServiceSystemTag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68cf45-2748-4821-b15f-7f37154078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932a25-9e2a-4a45-9a74-784c477764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2268cf45-2748-4821-b15f-7f37154078de" xsi:nil="true"/>
  </documentManagement>
</p:properties>
</file>

<file path=customXml/itemProps1.xml><?xml version="1.0" encoding="utf-8"?>
<ds:datastoreItem xmlns:ds="http://schemas.openxmlformats.org/officeDocument/2006/customXml" ds:itemID="{C8E93DFA-3C14-4F39-AFE1-1717E3C54F4C}">
  <ds:schemaRefs>
    <ds:schemaRef ds:uri="http://schemas.microsoft.com/sharepoint/v3/contenttype/forms"/>
  </ds:schemaRefs>
</ds:datastoreItem>
</file>

<file path=customXml/itemProps2.xml><?xml version="1.0" encoding="utf-8"?>
<ds:datastoreItem xmlns:ds="http://schemas.openxmlformats.org/officeDocument/2006/customXml" ds:itemID="{0D2E0380-5BBC-4634-9271-17CC74943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68cf45-2748-4821-b15f-7f37154078de"/>
    <ds:schemaRef ds:uri="9e932a25-9e2a-4a45-9a74-784c477764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E60B42-DEC7-4055-ABE1-CBA883B11DFF}">
  <ds:schemaRefs>
    <ds:schemaRef ds:uri="http://schemas.openxmlformats.org/officeDocument/2006/bibliography"/>
  </ds:schemaRefs>
</ds:datastoreItem>
</file>

<file path=customXml/itemProps4.xml><?xml version="1.0" encoding="utf-8"?>
<ds:datastoreItem xmlns:ds="http://schemas.openxmlformats.org/officeDocument/2006/customXml" ds:itemID="{07F18B11-9A8A-4B25-9B79-48DFCAABCD4B}">
  <ds:schemaRefs>
    <ds:schemaRef ds:uri="http://schemas.microsoft.com/office/2006/metadata/properties"/>
    <ds:schemaRef ds:uri="http://schemas.microsoft.com/office/infopath/2007/PartnerControls"/>
    <ds:schemaRef ds:uri="2268cf45-2748-4821-b15f-7f37154078de"/>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918</Words>
  <Characters>5238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Anand Sharma</dc:creator>
  <cp:keywords/>
  <dc:description/>
  <cp:lastModifiedBy>Navin Patidar</cp:lastModifiedBy>
  <cp:revision>9</cp:revision>
  <dcterms:created xsi:type="dcterms:W3CDTF">2025-05-20T13:23:00Z</dcterms:created>
  <dcterms:modified xsi:type="dcterms:W3CDTF">2025-05-22T10:38:00Z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0x010100BDAD9D79384FEB4586EB9780EFA83EF3</vt:lpwstr>
  </property>
</Properties>
</file>