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9A9E" w14:textId="1B0B5FFE" w:rsidR="009F35B1" w:rsidRPr="009F35B1" w:rsidRDefault="009F35B1" w:rsidP="009F35B1">
      <w:pPr>
        <w:rPr>
          <w:b/>
          <w:bCs/>
        </w:rPr>
      </w:pPr>
      <w:r w:rsidRPr="009F35B1">
        <w:rPr>
          <w:b/>
          <w:bCs/>
        </w:rPr>
        <w:t>Detailed Submission on the Flaws in MoFuSS-Derived f</w:t>
      </w:r>
      <w:r w:rsidR="005A2374" w:rsidRPr="005A2374">
        <w:rPr>
          <w:b/>
          <w:bCs/>
          <w:vertAlign w:val="subscript"/>
        </w:rPr>
        <w:t>NRB</w:t>
      </w:r>
      <w:r w:rsidRPr="005A2374">
        <w:rPr>
          <w:b/>
          <w:bCs/>
          <w:vertAlign w:val="subscript"/>
        </w:rPr>
        <w:t xml:space="preserve"> </w:t>
      </w:r>
      <w:r w:rsidRPr="009F35B1">
        <w:rPr>
          <w:b/>
          <w:bCs/>
        </w:rPr>
        <w:t>Values for CDM Projects</w:t>
      </w:r>
    </w:p>
    <w:p w14:paraId="0295AFEE" w14:textId="77777777" w:rsidR="004C6900" w:rsidRDefault="009F35B1" w:rsidP="009F35B1">
      <w:r>
        <w:t>The current methodology for determining the fraction of non-renewable biomass (f</w:t>
      </w:r>
      <w:r w:rsidR="005A2374">
        <w:rPr>
          <w:vertAlign w:val="subscript"/>
        </w:rPr>
        <w:t>NRB</w:t>
      </w:r>
      <w:r>
        <w:t xml:space="preserve">) using the MoFuSS (Model for Fuelwood Supply and Sustainability) model contains a critical oversight that significantly impacts the accuracy of emissions calculations, particularly in countries like India where forest dynamics are complex. </w:t>
      </w:r>
    </w:p>
    <w:p w14:paraId="063A701E" w14:textId="1CB43413" w:rsidR="004C6900" w:rsidRDefault="009F35B1" w:rsidP="009F35B1">
      <w:r>
        <w:t>The fundamental issue lies in the model's treatment of all forest biomass as a uniform supply source</w:t>
      </w:r>
      <w:r w:rsidR="004C6900">
        <w:t xml:space="preserve"> and this approach </w:t>
      </w:r>
      <w:r>
        <w:t>fail</w:t>
      </w:r>
      <w:r w:rsidR="004C6900">
        <w:t>s</w:t>
      </w:r>
      <w:r>
        <w:t xml:space="preserve"> to distinguish between </w:t>
      </w:r>
    </w:p>
    <w:p w14:paraId="4FC4090F" w14:textId="77777777" w:rsidR="004C6900" w:rsidRDefault="009F35B1" w:rsidP="004C6900">
      <w:pPr>
        <w:pStyle w:val="ListParagraph"/>
        <w:numPr>
          <w:ilvl w:val="0"/>
          <w:numId w:val="2"/>
        </w:numPr>
      </w:pPr>
      <w:r>
        <w:t>naturally occurring forests and</w:t>
      </w:r>
      <w:r w:rsidR="004C6900">
        <w:t xml:space="preserve">, </w:t>
      </w:r>
    </w:p>
    <w:p w14:paraId="34C6444D" w14:textId="693E5E3D" w:rsidR="004C6900" w:rsidRDefault="009F35B1" w:rsidP="004C6900">
      <w:pPr>
        <w:pStyle w:val="ListParagraph"/>
        <w:numPr>
          <w:ilvl w:val="0"/>
          <w:numId w:val="2"/>
        </w:numPr>
      </w:pPr>
      <w:r>
        <w:t>purpose-grown plantations</w:t>
      </w:r>
      <w:r w:rsidR="004C6900">
        <w:t>/</w:t>
      </w:r>
      <w:r>
        <w:t xml:space="preserve">agroforestry </w:t>
      </w:r>
      <w:r w:rsidR="004C6900">
        <w:t>species</w:t>
      </w:r>
      <w:r>
        <w:t xml:space="preserve">. </w:t>
      </w:r>
    </w:p>
    <w:p w14:paraId="1B2C742C" w14:textId="77777777" w:rsidR="004C6900" w:rsidRDefault="004C6900" w:rsidP="004C6900">
      <w:pPr>
        <w:pStyle w:val="ListParagraph"/>
      </w:pPr>
    </w:p>
    <w:p w14:paraId="737647B9" w14:textId="18B22F17" w:rsidR="004C6900" w:rsidRDefault="004C6900" w:rsidP="004C6900">
      <w:r>
        <w:t>Due to the approach of not distinguishing the type of biomass, the approach</w:t>
      </w:r>
      <w:r w:rsidR="009F35B1">
        <w:t xml:space="preserve"> leads to a systematic underestimation of f</w:t>
      </w:r>
      <w:r w:rsidR="005A2374" w:rsidRPr="004C6900">
        <w:rPr>
          <w:vertAlign w:val="subscript"/>
        </w:rPr>
        <w:t>NRB</w:t>
      </w:r>
      <w:r w:rsidR="009F35B1">
        <w:t xml:space="preserve"> values</w:t>
      </w:r>
      <w:r>
        <w:t xml:space="preserve"> as agro-forestry plantations have increased due to food security and demand of fruit bearing trees/government policy with focus on horticulture species across the country. The MoFuSS model considers these agro forestry plantations as Forests supplying wood, however in actual conditions they are not used for wood harvesting rather for meeting fruit requirements/food security.  </w:t>
      </w:r>
    </w:p>
    <w:p w14:paraId="5D149D2E" w14:textId="2F9E8596" w:rsidR="009F35B1" w:rsidRDefault="004C6900" w:rsidP="004C6900">
      <w:r>
        <w:t>Due to the inability of MoFuSS to distinguish between the two type of biomass, it</w:t>
      </w:r>
      <w:r w:rsidR="009F35B1">
        <w:t xml:space="preserve"> results in incorrect baseline emissions calculations and an unfair reduction in certified emission reductions (CERs) for legitimate projects addressing forest degradation.</w:t>
      </w:r>
    </w:p>
    <w:p w14:paraId="4C698793" w14:textId="77777777" w:rsidR="004C6900" w:rsidRDefault="009F35B1" w:rsidP="009F35B1">
      <w:r>
        <w:t>A thorough analysis of India's Forest Survey of India (FSI)</w:t>
      </w:r>
      <w:r>
        <w:rPr>
          <w:rStyle w:val="FootnoteReference"/>
        </w:rPr>
        <w:footnoteReference w:id="1"/>
      </w:r>
      <w:r>
        <w:t xml:space="preserve"> reports from 1980 to 2023 reveals a crucial trend: while the country's total forest cover has increased, this growth is entirely attributable to large-scale afforestation and agroforestry programs. During the same period, natural forests—particularly accessible forests that communities traditionally depend on for fuelwood—have continued to degrade, with declining growing stock and reduced ecological quality. </w:t>
      </w:r>
    </w:p>
    <w:p w14:paraId="43634711" w14:textId="1666F3BE" w:rsidR="004C6900" w:rsidRDefault="004C6900" w:rsidP="009F35B1">
      <w:r>
        <w:rPr>
          <w:noProof/>
        </w:rPr>
        <w:lastRenderedPageBreak/>
        <w:drawing>
          <wp:inline distT="0" distB="0" distL="0" distR="0" wp14:anchorId="06A17D2B" wp14:editId="31BE7618">
            <wp:extent cx="5734050" cy="2862580"/>
            <wp:effectExtent l="0" t="0" r="0" b="13970"/>
            <wp:docPr id="1" name="Chart 1">
              <a:extLst xmlns:a="http://schemas.openxmlformats.org/drawingml/2006/main">
                <a:ext uri="{FF2B5EF4-FFF2-40B4-BE49-F238E27FC236}">
                  <a16:creationId xmlns:a16="http://schemas.microsoft.com/office/drawing/2014/main" id="{77BBADC2-3885-41C1-9C30-FBF71C39AE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1E417E" w14:textId="77777777" w:rsidR="004C6900" w:rsidRDefault="004C6900" w:rsidP="009F35B1"/>
    <w:p w14:paraId="14464B6E" w14:textId="4FE04E6B" w:rsidR="004C6900" w:rsidRDefault="009F35B1" w:rsidP="009F35B1">
      <w:r>
        <w:t xml:space="preserve">The MoFuSS model, by not differentiating between these two distinct categories of biomass, incorrectly incorporates purpose-grown plantation supply into its "sustainable biomass" calculations. This leads to an </w:t>
      </w:r>
      <w:r w:rsidRPr="004C6900">
        <w:rPr>
          <w:b/>
          <w:bCs/>
        </w:rPr>
        <w:t>inflated estimate of renewable biomass availability</w:t>
      </w:r>
      <w:r>
        <w:t xml:space="preserve"> and consequently depresses the f</w:t>
      </w:r>
      <w:r w:rsidR="005A2374" w:rsidRPr="005A2374">
        <w:rPr>
          <w:vertAlign w:val="subscript"/>
        </w:rPr>
        <w:t>NRB</w:t>
      </w:r>
      <w:r>
        <w:t xml:space="preserve"> value.</w:t>
      </w:r>
    </w:p>
    <w:p w14:paraId="1A48D14D" w14:textId="3E57F860" w:rsidR="00197C8E" w:rsidRPr="00D6214F" w:rsidRDefault="009F35B1" w:rsidP="009F35B1">
      <w:pPr>
        <w:rPr>
          <w:b/>
          <w:bCs/>
        </w:rPr>
      </w:pPr>
      <w:r w:rsidRPr="00197C8E">
        <w:rPr>
          <w:b/>
          <w:bCs/>
        </w:rPr>
        <w:t xml:space="preserve">This methodological flaw has serious implications for </w:t>
      </w:r>
      <w:r w:rsidR="007836AF" w:rsidRPr="00197C8E">
        <w:rPr>
          <w:b/>
          <w:bCs/>
        </w:rPr>
        <w:t xml:space="preserve">all the </w:t>
      </w:r>
      <w:r w:rsidR="00197C8E" w:rsidRPr="00197C8E">
        <w:rPr>
          <w:b/>
          <w:bCs/>
        </w:rPr>
        <w:t>Household-biogas/ICS</w:t>
      </w:r>
      <w:r w:rsidR="004C6900" w:rsidRPr="00197C8E">
        <w:rPr>
          <w:b/>
          <w:bCs/>
        </w:rPr>
        <w:t>/Clean drinking water</w:t>
      </w:r>
      <w:r w:rsidRPr="00197C8E">
        <w:rPr>
          <w:b/>
          <w:bCs/>
        </w:rPr>
        <w:t xml:space="preserve"> projects</w:t>
      </w:r>
      <w:r w:rsidR="007836AF" w:rsidRPr="00197C8E">
        <w:rPr>
          <w:b/>
          <w:bCs/>
        </w:rPr>
        <w:t xml:space="preserve"> in various mechanisms</w:t>
      </w:r>
      <w:r w:rsidRPr="00197C8E">
        <w:rPr>
          <w:b/>
          <w:bCs/>
        </w:rPr>
        <w:t xml:space="preserve">. </w:t>
      </w:r>
    </w:p>
    <w:p w14:paraId="5B2FCFAF" w14:textId="71288769" w:rsidR="00197C8E" w:rsidRDefault="009F35B1" w:rsidP="009F35B1">
      <w:r>
        <w:t>The f</w:t>
      </w:r>
      <w:r w:rsidR="005A2374" w:rsidRPr="005A2374">
        <w:rPr>
          <w:vertAlign w:val="subscript"/>
        </w:rPr>
        <w:t>NRB</w:t>
      </w:r>
      <w:r>
        <w:t xml:space="preserve"> is meant to represent the proportion of biomass extraction that is non-renewable—that is, the depletion of existing carbon stocks that cannot be naturally regenerated within a reasonable timeframe. </w:t>
      </w:r>
      <w:r w:rsidRPr="00197C8E">
        <w:rPr>
          <w:b/>
          <w:bCs/>
        </w:rPr>
        <w:t xml:space="preserve">According to IPCC </w:t>
      </w:r>
      <w:r w:rsidRPr="00F17426">
        <w:rPr>
          <w:b/>
          <w:bCs/>
        </w:rPr>
        <w:t>2006 Guidelines</w:t>
      </w:r>
      <w:r w:rsidR="00197C8E" w:rsidRPr="00F17426">
        <w:rPr>
          <w:b/>
          <w:bCs/>
        </w:rPr>
        <w:t xml:space="preserve"> </w:t>
      </w:r>
      <w:r w:rsidR="00F17426">
        <w:rPr>
          <w:b/>
          <w:bCs/>
        </w:rPr>
        <w:t>Volume 4 chapter 2</w:t>
      </w:r>
      <w:r w:rsidR="005A2374">
        <w:t xml:space="preserve">, </w:t>
      </w:r>
      <w:r>
        <w:t xml:space="preserve">only biomass loss from natural forests should factor into this calculation, as managed plantations are intentionally maintained as renewable resources. </w:t>
      </w:r>
    </w:p>
    <w:p w14:paraId="51162052" w14:textId="3EEC8E37" w:rsidR="009F35B1" w:rsidRDefault="009F35B1" w:rsidP="009F35B1">
      <w:r>
        <w:t xml:space="preserve">By including plantation-derived biomass in the sustainable supply pool, the current approach violates this principle and creates a perverse incentive: projects that genuinely mitigate degradation of natural forests receive </w:t>
      </w:r>
      <w:r w:rsidR="00197C8E">
        <w:t>lower</w:t>
      </w:r>
      <w:r>
        <w:t xml:space="preserve"> E</w:t>
      </w:r>
      <w:r w:rsidR="00197C8E">
        <w:t xml:space="preserve">mission </w:t>
      </w:r>
      <w:r>
        <w:t>R</w:t>
      </w:r>
      <w:r w:rsidR="00197C8E">
        <w:t>eduction</w:t>
      </w:r>
      <w:r>
        <w:t>s than they deserve, while the accounting system fails to reflect actual carbon stock depletion.</w:t>
      </w:r>
      <w:r w:rsidR="00197C8E">
        <w:t xml:space="preserve"> This has an adverse impact on the community projects in selected geographic areas we have specifically shared the data from India. </w:t>
      </w:r>
    </w:p>
    <w:p w14:paraId="05FB84B5" w14:textId="77777777" w:rsidR="00197C8E" w:rsidRDefault="00197C8E" w:rsidP="009F35B1"/>
    <w:p w14:paraId="6242658D" w14:textId="77777777" w:rsidR="00197C8E" w:rsidRDefault="00766779" w:rsidP="009F35B1">
      <w:r w:rsidRPr="00766779">
        <w:t>Further analysis of India’s forest dynamics reveals a critical contradiction in the current f</w:t>
      </w:r>
      <w:r w:rsidRPr="00766779">
        <w:rPr>
          <w:vertAlign w:val="subscript"/>
        </w:rPr>
        <w:t xml:space="preserve">NRB </w:t>
      </w:r>
      <w:r w:rsidRPr="00766779">
        <w:t xml:space="preserve">assumptions. While MoFuSS presumes biomass demand is met through purpose-grown plantations, FSI data shows a consistent year-on-year decline in moderately dense forests (natural forests) alongside an increase in open forests (degraded/degrading). </w:t>
      </w:r>
      <w:r w:rsidRPr="00197C8E">
        <w:rPr>
          <w:b/>
          <w:bCs/>
        </w:rPr>
        <w:t>This proves extraction is still occurring from natural stocks</w:t>
      </w:r>
      <w:r w:rsidR="00197C8E" w:rsidRPr="00197C8E">
        <w:rPr>
          <w:b/>
          <w:bCs/>
        </w:rPr>
        <w:t>.</w:t>
      </w:r>
      <w:r w:rsidR="00197C8E">
        <w:t xml:space="preserve"> </w:t>
      </w:r>
    </w:p>
    <w:p w14:paraId="05DD5CEF" w14:textId="69CF51D8" w:rsidR="00D14C32" w:rsidRDefault="00766779" w:rsidP="009F35B1">
      <w:r w:rsidRPr="00766779">
        <w:t xml:space="preserve">The </w:t>
      </w:r>
      <w:r w:rsidR="00197C8E">
        <w:t xml:space="preserve">default </w:t>
      </w:r>
      <w:r w:rsidRPr="00766779">
        <w:t>7% f</w:t>
      </w:r>
      <w:r w:rsidRPr="00766779">
        <w:rPr>
          <w:vertAlign w:val="subscript"/>
        </w:rPr>
        <w:t>NRB</w:t>
      </w:r>
      <w:r w:rsidRPr="00766779">
        <w:t xml:space="preserve"> value implies 93% of biomass is renewable</w:t>
      </w:r>
      <w:r w:rsidR="00197C8E">
        <w:t xml:space="preserve"> in India</w:t>
      </w:r>
      <w:r w:rsidRPr="00766779">
        <w:t xml:space="preserve">, yet the reality is that degraded open forests now dominate India’s landscape. If plantations truly supplied most biomass, natural forests would recover; instead, their continued decline exposes the flaw </w:t>
      </w:r>
      <w:r w:rsidR="00197C8E">
        <w:t xml:space="preserve">that </w:t>
      </w:r>
      <w:r w:rsidR="00197C8E">
        <w:lastRenderedPageBreak/>
        <w:t>there is an error in</w:t>
      </w:r>
      <w:r w:rsidRPr="00766779">
        <w:t xml:space="preserve"> MoFuSS’s model</w:t>
      </w:r>
      <w:r>
        <w:t>l</w:t>
      </w:r>
      <w:r w:rsidRPr="00766779">
        <w:t>ing.</w:t>
      </w:r>
      <w:r w:rsidR="00197C8E">
        <w:t xml:space="preserve"> The acceptance of such disparity would be detrimental to all the existing as well as new projects and in a way leading to continued baseline. </w:t>
      </w:r>
    </w:p>
    <w:p w14:paraId="543EF556" w14:textId="2245071F" w:rsidR="00197C8E" w:rsidRDefault="00197C8E" w:rsidP="009F35B1">
      <w:r>
        <w:t>Further we would like to highlight the existing fNRB values in the ongoing projects, t</w:t>
      </w:r>
      <w:r w:rsidR="005A2374" w:rsidRPr="005A2374">
        <w:t>he drastic reduction in India’s f</w:t>
      </w:r>
      <w:r w:rsidR="005A2374" w:rsidRPr="005A2374">
        <w:rPr>
          <w:vertAlign w:val="subscript"/>
        </w:rPr>
        <w:t>NRB</w:t>
      </w:r>
      <w:r w:rsidR="005A2374" w:rsidRPr="005A2374">
        <w:t xml:space="preserve"> values—from 70-90% under earlier Tool 30 to just 7% now—raises alarming questions. </w:t>
      </w:r>
      <w:r w:rsidR="00D6214F">
        <w:t>All the projects have referred to Forest Survey of India (</w:t>
      </w:r>
      <w:r w:rsidR="00D6214F" w:rsidRPr="00D6214F">
        <w:rPr>
          <w:i/>
          <w:iCs/>
        </w:rPr>
        <w:t>Forest Survey of India (FSI) is an organisation under the Ministry of Environment &amp; Forests, Government of India. Its principal mandate is to conduct survey and assessment of forest resources in the country</w:t>
      </w:r>
      <w:r w:rsidR="00D6214F">
        <w:t xml:space="preserve">) and data which is publicly available and updated every 2 years. </w:t>
      </w:r>
    </w:p>
    <w:p w14:paraId="1F10EB3A" w14:textId="77777777" w:rsidR="00D6214F" w:rsidRDefault="005A2374" w:rsidP="009F35B1">
      <w:r w:rsidRPr="005A2374">
        <w:t>If the earlier values were correct, then hundreds of projects overestimated emissions reductions, implying systemic failure in CDM’s</w:t>
      </w:r>
      <w:r w:rsidR="00197C8E">
        <w:t xml:space="preserve">/Carbon Mechanism’s </w:t>
      </w:r>
      <w:r w:rsidRPr="005A2374">
        <w:t>oversight. If the new values are correct, the CDM is effectively strangling the sector: a 7% f</w:t>
      </w:r>
      <w:r w:rsidRPr="005A2374">
        <w:rPr>
          <w:vertAlign w:val="subscript"/>
        </w:rPr>
        <w:t>NRB</w:t>
      </w:r>
      <w:r w:rsidRPr="005A2374">
        <w:t xml:space="preserve"> makes most projects financially unviable, deterring investors and betraying commitments to clean cooking. This isn’t methodological refinement—it’s a policy contradiction. </w:t>
      </w:r>
    </w:p>
    <w:p w14:paraId="57018A99" w14:textId="601D5EA1" w:rsidR="005A2374" w:rsidRDefault="005A2374" w:rsidP="009F35B1">
      <w:r w:rsidRPr="005A2374">
        <w:t xml:space="preserve">By conflating purpose-grown plantations (renewable) with degraded natural forests (non-renewable), the </w:t>
      </w:r>
      <w:r w:rsidR="00D6214F">
        <w:t xml:space="preserve">CDM </w:t>
      </w:r>
      <w:r w:rsidRPr="005A2374">
        <w:t xml:space="preserve">EB is forcing a perverse choice: halt afforestation progress or abandon clean cooking initiatives. Neither outcome aligns with India’s climate goals or the </w:t>
      </w:r>
      <w:r w:rsidR="00D6214F">
        <w:t>International Paris Agreement</w:t>
      </w:r>
      <w:r w:rsidRPr="005A2374">
        <w:t xml:space="preserve"> mandate to support sustainable development.</w:t>
      </w:r>
    </w:p>
    <w:p w14:paraId="1043B479" w14:textId="61C41E87" w:rsidR="009F35B1" w:rsidRDefault="009F35B1" w:rsidP="009F35B1">
      <w:r>
        <w:t>We therefore urge the Methodology Panel to address this issue through one of the following corrective measures:</w:t>
      </w:r>
    </w:p>
    <w:p w14:paraId="14D5F631" w14:textId="7ED82AA8" w:rsidR="009F35B1" w:rsidRDefault="009F35B1" w:rsidP="009F35B1">
      <w:pPr>
        <w:pStyle w:val="ListParagraph"/>
        <w:numPr>
          <w:ilvl w:val="0"/>
          <w:numId w:val="1"/>
        </w:numPr>
      </w:pPr>
      <w:r>
        <w:t>Modify the MoFuSS model to explicitly exclude purpose-grown plantations and agroforestry systems from its sustainable biomass supply calculations, ensuring f</w:t>
      </w:r>
      <w:r w:rsidR="005A2374" w:rsidRPr="005A2374">
        <w:rPr>
          <w:vertAlign w:val="subscript"/>
        </w:rPr>
        <w:t>NRB</w:t>
      </w:r>
      <w:r>
        <w:t xml:space="preserve"> reflects only extraction from natural forests.</w:t>
      </w:r>
    </w:p>
    <w:p w14:paraId="474D1E16" w14:textId="1BEE374E" w:rsidR="009F35B1" w:rsidRDefault="009F35B1" w:rsidP="009F35B1">
      <w:pPr>
        <w:pStyle w:val="ListParagraph"/>
        <w:numPr>
          <w:ilvl w:val="0"/>
          <w:numId w:val="1"/>
        </w:numPr>
      </w:pPr>
      <w:r>
        <w:t>Develop country-specific f</w:t>
      </w:r>
      <w:r w:rsidR="005A2374" w:rsidRPr="005A2374">
        <w:rPr>
          <w:vertAlign w:val="subscript"/>
        </w:rPr>
        <w:t>NRB</w:t>
      </w:r>
      <w:r>
        <w:t xml:space="preserve"> adjustments based on empirical data (such as </w:t>
      </w:r>
      <w:r w:rsidR="00D6214F">
        <w:t xml:space="preserve">India’s </w:t>
      </w:r>
      <w:r>
        <w:t>FSI's degraded forest records) where the MoFuSS model cannot be sufficiently refined.</w:t>
      </w:r>
    </w:p>
    <w:sectPr w:rsidR="009F35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51B6" w14:textId="77777777" w:rsidR="00452DCF" w:rsidRDefault="00452DCF" w:rsidP="009F35B1">
      <w:pPr>
        <w:spacing w:after="0" w:line="240" w:lineRule="auto"/>
      </w:pPr>
      <w:r>
        <w:separator/>
      </w:r>
    </w:p>
  </w:endnote>
  <w:endnote w:type="continuationSeparator" w:id="0">
    <w:p w14:paraId="5C38FD32" w14:textId="77777777" w:rsidR="00452DCF" w:rsidRDefault="00452DCF" w:rsidP="009F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1B45" w14:textId="77777777" w:rsidR="00452DCF" w:rsidRDefault="00452DCF" w:rsidP="009F35B1">
      <w:pPr>
        <w:spacing w:after="0" w:line="240" w:lineRule="auto"/>
      </w:pPr>
      <w:r>
        <w:separator/>
      </w:r>
    </w:p>
  </w:footnote>
  <w:footnote w:type="continuationSeparator" w:id="0">
    <w:p w14:paraId="40FD91FC" w14:textId="77777777" w:rsidR="00452DCF" w:rsidRDefault="00452DCF" w:rsidP="009F35B1">
      <w:pPr>
        <w:spacing w:after="0" w:line="240" w:lineRule="auto"/>
      </w:pPr>
      <w:r>
        <w:continuationSeparator/>
      </w:r>
    </w:p>
  </w:footnote>
  <w:footnote w:id="1">
    <w:p w14:paraId="4C79BF74" w14:textId="6244FF32" w:rsidR="009F35B1" w:rsidRDefault="009F35B1">
      <w:pPr>
        <w:pStyle w:val="FootnoteText"/>
      </w:pPr>
      <w:r>
        <w:rPr>
          <w:rStyle w:val="FootnoteReference"/>
        </w:rPr>
        <w:footnoteRef/>
      </w:r>
      <w:r>
        <w:t xml:space="preserve"> Forest Survey of India reports</w:t>
      </w:r>
      <w:r w:rsidR="00D54819">
        <w:t xml:space="preserve"> for each consecutive year</w:t>
      </w:r>
      <w:r>
        <w:t xml:space="preserve"> can be seen from the link: </w:t>
      </w:r>
      <w:hyperlink r:id="rId1" w:history="1">
        <w:r w:rsidRPr="006546B5">
          <w:rPr>
            <w:rStyle w:val="Hyperlink"/>
          </w:rPr>
          <w:t>https://fsi.nic.in/forest-report-2009</w:t>
        </w:r>
      </w:hyperlink>
      <w:r w:rsidR="004C6900">
        <w:t xml:space="preserve"> </w:t>
      </w:r>
      <w:r w:rsidR="00D54819">
        <w:t>The details of the tree cover and forest cover are provided in chapter 2 of every 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616D8"/>
    <w:multiLevelType w:val="hybridMultilevel"/>
    <w:tmpl w:val="5AAA9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55161"/>
    <w:multiLevelType w:val="hybridMultilevel"/>
    <w:tmpl w:val="66702C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B1"/>
    <w:rsid w:val="00021A44"/>
    <w:rsid w:val="00071F0A"/>
    <w:rsid w:val="00095C67"/>
    <w:rsid w:val="00197C8E"/>
    <w:rsid w:val="001E7ADA"/>
    <w:rsid w:val="00452DCF"/>
    <w:rsid w:val="004C6900"/>
    <w:rsid w:val="005A2374"/>
    <w:rsid w:val="005B5027"/>
    <w:rsid w:val="0064719A"/>
    <w:rsid w:val="00687734"/>
    <w:rsid w:val="00766779"/>
    <w:rsid w:val="007836AF"/>
    <w:rsid w:val="007E3D2E"/>
    <w:rsid w:val="008B5E5F"/>
    <w:rsid w:val="009511BA"/>
    <w:rsid w:val="009F35B1"/>
    <w:rsid w:val="00A90EFD"/>
    <w:rsid w:val="00B21BB7"/>
    <w:rsid w:val="00B91954"/>
    <w:rsid w:val="00D05CDD"/>
    <w:rsid w:val="00D14C32"/>
    <w:rsid w:val="00D54819"/>
    <w:rsid w:val="00D6214F"/>
    <w:rsid w:val="00E52009"/>
    <w:rsid w:val="00E95B22"/>
    <w:rsid w:val="00F17426"/>
    <w:rsid w:val="00F411E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B984"/>
  <w15:chartTrackingRefBased/>
  <w15:docId w15:val="{55B33E58-247D-4FCA-B09B-4E78977C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A44"/>
    <w:pPr>
      <w:jc w:val="both"/>
    </w:pPr>
    <w:rPr>
      <w:rFonts w:ascii="Times New Roman" w:hAnsi="Times New Roman"/>
      <w:sz w:val="24"/>
    </w:rPr>
  </w:style>
  <w:style w:type="paragraph" w:styleId="Heading1">
    <w:name w:val="heading 1"/>
    <w:basedOn w:val="Normal"/>
    <w:next w:val="Normal"/>
    <w:link w:val="Heading1Char"/>
    <w:autoRedefine/>
    <w:uiPriority w:val="9"/>
    <w:qFormat/>
    <w:rsid w:val="00E52009"/>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semiHidden/>
    <w:unhideWhenUsed/>
    <w:qFormat/>
    <w:rsid w:val="00E52009"/>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009"/>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semiHidden/>
    <w:rsid w:val="00E52009"/>
    <w:rPr>
      <w:rFonts w:asciiTheme="majorHAnsi" w:eastAsiaTheme="majorEastAsia" w:hAnsiTheme="majorHAnsi" w:cstheme="majorBidi"/>
      <w:b/>
      <w:sz w:val="26"/>
      <w:szCs w:val="26"/>
    </w:rPr>
  </w:style>
  <w:style w:type="paragraph" w:styleId="ListParagraph">
    <w:name w:val="List Paragraph"/>
    <w:basedOn w:val="Normal"/>
    <w:uiPriority w:val="34"/>
    <w:qFormat/>
    <w:rsid w:val="009F35B1"/>
    <w:pPr>
      <w:ind w:left="720"/>
      <w:contextualSpacing/>
    </w:pPr>
  </w:style>
  <w:style w:type="paragraph" w:styleId="FootnoteText">
    <w:name w:val="footnote text"/>
    <w:basedOn w:val="Normal"/>
    <w:link w:val="FootnoteTextChar"/>
    <w:uiPriority w:val="99"/>
    <w:semiHidden/>
    <w:unhideWhenUsed/>
    <w:rsid w:val="009F3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5B1"/>
    <w:rPr>
      <w:rFonts w:ascii="Times New Roman" w:hAnsi="Times New Roman"/>
      <w:sz w:val="20"/>
      <w:szCs w:val="20"/>
    </w:rPr>
  </w:style>
  <w:style w:type="character" w:styleId="FootnoteReference">
    <w:name w:val="footnote reference"/>
    <w:basedOn w:val="DefaultParagraphFont"/>
    <w:uiPriority w:val="99"/>
    <w:semiHidden/>
    <w:unhideWhenUsed/>
    <w:rsid w:val="009F35B1"/>
    <w:rPr>
      <w:vertAlign w:val="superscript"/>
    </w:rPr>
  </w:style>
  <w:style w:type="character" w:styleId="Hyperlink">
    <w:name w:val="Hyperlink"/>
    <w:basedOn w:val="DefaultParagraphFont"/>
    <w:uiPriority w:val="99"/>
    <w:unhideWhenUsed/>
    <w:rsid w:val="009F35B1"/>
    <w:rPr>
      <w:color w:val="0563C1" w:themeColor="hyperlink"/>
      <w:u w:val="single"/>
    </w:rPr>
  </w:style>
  <w:style w:type="character" w:styleId="UnresolvedMention">
    <w:name w:val="Unresolved Mention"/>
    <w:basedOn w:val="DefaultParagraphFont"/>
    <w:uiPriority w:val="99"/>
    <w:semiHidden/>
    <w:unhideWhenUsed/>
    <w:rsid w:val="009F3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5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fsi.nic.in/forest-report-200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Z:\Shared%20with%20Me\Anand%20Sharma\1%20Nas%20Team%20Data\Extra%20Work\fnrb%20response%20July%202024\understanding%20forest%20cover_Pradee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IN"/>
              <a:t>Forest Trend in India</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manualLayout>
          <c:layoutTarget val="inner"/>
          <c:xMode val="edge"/>
          <c:yMode val="edge"/>
          <c:x val="0.12549450319374825"/>
          <c:y val="9.6589972467250068E-2"/>
          <c:w val="0.84569982430458968"/>
          <c:h val="0.71494046262034616"/>
        </c:manualLayout>
      </c:layout>
      <c:lineChart>
        <c:grouping val="standard"/>
        <c:varyColors val="0"/>
        <c:ser>
          <c:idx val="1"/>
          <c:order val="1"/>
          <c:tx>
            <c:strRef>
              <c:f>Sheet1!$F$23</c:f>
              <c:strCache>
                <c:ptCount val="1"/>
                <c:pt idx="0">
                  <c:v> Moderate Dense forest cover </c:v>
                </c:pt>
              </c:strCache>
            </c:strRef>
          </c:tx>
          <c:spPr>
            <a:ln w="38100" cap="rnd">
              <a:solidFill>
                <a:schemeClr val="accent2"/>
              </a:solidFill>
              <a:round/>
            </a:ln>
            <a:effectLst/>
          </c:spPr>
          <c:marker>
            <c:symbol val="none"/>
          </c:marker>
          <c:cat>
            <c:numRef>
              <c:f>Sheet1!$D$24:$D$33</c:f>
              <c:numCache>
                <c:formatCode>General</c:formatCode>
                <c:ptCount val="10"/>
                <c:pt idx="0">
                  <c:v>2003</c:v>
                </c:pt>
                <c:pt idx="1">
                  <c:v>2005</c:v>
                </c:pt>
                <c:pt idx="2">
                  <c:v>2007</c:v>
                </c:pt>
                <c:pt idx="3">
                  <c:v>2009</c:v>
                </c:pt>
                <c:pt idx="4">
                  <c:v>2011</c:v>
                </c:pt>
                <c:pt idx="5">
                  <c:v>2013</c:v>
                </c:pt>
                <c:pt idx="6">
                  <c:v>2015</c:v>
                </c:pt>
                <c:pt idx="7">
                  <c:v>2017</c:v>
                </c:pt>
                <c:pt idx="8">
                  <c:v>2019</c:v>
                </c:pt>
                <c:pt idx="9">
                  <c:v>2021</c:v>
                </c:pt>
              </c:numCache>
            </c:numRef>
          </c:cat>
          <c:val>
            <c:numRef>
              <c:f>Sheet1!$F$24:$F$33</c:f>
              <c:numCache>
                <c:formatCode>_ * #,##0_ ;_ * \-#,##0_ ;_ * "-"??_ ;_ @_ </c:formatCode>
                <c:ptCount val="10"/>
                <c:pt idx="0">
                  <c:v>339279</c:v>
                </c:pt>
                <c:pt idx="1">
                  <c:v>332647</c:v>
                </c:pt>
                <c:pt idx="2">
                  <c:v>319012</c:v>
                </c:pt>
                <c:pt idx="3">
                  <c:v>319012</c:v>
                </c:pt>
                <c:pt idx="4">
                  <c:v>320736</c:v>
                </c:pt>
                <c:pt idx="5">
                  <c:v>318745</c:v>
                </c:pt>
                <c:pt idx="6">
                  <c:v>315374</c:v>
                </c:pt>
                <c:pt idx="7">
                  <c:v>308318</c:v>
                </c:pt>
                <c:pt idx="8">
                  <c:v>308472</c:v>
                </c:pt>
                <c:pt idx="9">
                  <c:v>306890</c:v>
                </c:pt>
              </c:numCache>
            </c:numRef>
          </c:val>
          <c:smooth val="0"/>
          <c:extLst>
            <c:ext xmlns:c16="http://schemas.microsoft.com/office/drawing/2014/chart" uri="{C3380CC4-5D6E-409C-BE32-E72D297353CC}">
              <c16:uniqueId val="{00000000-E7C9-43CE-BBF0-417F1E0F8541}"/>
            </c:ext>
          </c:extLst>
        </c:ser>
        <c:ser>
          <c:idx val="2"/>
          <c:order val="2"/>
          <c:tx>
            <c:strRef>
              <c:f>Sheet1!$G$23</c:f>
              <c:strCache>
                <c:ptCount val="1"/>
                <c:pt idx="0">
                  <c:v> Open forest cover </c:v>
                </c:pt>
              </c:strCache>
            </c:strRef>
          </c:tx>
          <c:spPr>
            <a:ln w="38100" cap="rnd">
              <a:solidFill>
                <a:schemeClr val="accent3"/>
              </a:solidFill>
              <a:round/>
            </a:ln>
            <a:effectLst/>
          </c:spPr>
          <c:marker>
            <c:symbol val="none"/>
          </c:marker>
          <c:cat>
            <c:numRef>
              <c:f>Sheet1!$D$24:$D$33</c:f>
              <c:numCache>
                <c:formatCode>General</c:formatCode>
                <c:ptCount val="10"/>
                <c:pt idx="0">
                  <c:v>2003</c:v>
                </c:pt>
                <c:pt idx="1">
                  <c:v>2005</c:v>
                </c:pt>
                <c:pt idx="2">
                  <c:v>2007</c:v>
                </c:pt>
                <c:pt idx="3">
                  <c:v>2009</c:v>
                </c:pt>
                <c:pt idx="4">
                  <c:v>2011</c:v>
                </c:pt>
                <c:pt idx="5">
                  <c:v>2013</c:v>
                </c:pt>
                <c:pt idx="6">
                  <c:v>2015</c:v>
                </c:pt>
                <c:pt idx="7">
                  <c:v>2017</c:v>
                </c:pt>
                <c:pt idx="8">
                  <c:v>2019</c:v>
                </c:pt>
                <c:pt idx="9">
                  <c:v>2021</c:v>
                </c:pt>
              </c:numCache>
            </c:numRef>
          </c:cat>
          <c:val>
            <c:numRef>
              <c:f>Sheet1!$G$24:$G$33</c:f>
              <c:numCache>
                <c:formatCode>_ * #,##0_ ;_ * \-#,##0_ ;_ * "-"??_ ;_ @_ </c:formatCode>
                <c:ptCount val="10"/>
                <c:pt idx="0">
                  <c:v>287769</c:v>
                </c:pt>
                <c:pt idx="1">
                  <c:v>289872</c:v>
                </c:pt>
                <c:pt idx="2">
                  <c:v>288377</c:v>
                </c:pt>
                <c:pt idx="3">
                  <c:v>288377</c:v>
                </c:pt>
                <c:pt idx="4">
                  <c:v>287820</c:v>
                </c:pt>
                <c:pt idx="5">
                  <c:v>295651</c:v>
                </c:pt>
                <c:pt idx="6">
                  <c:v>300395</c:v>
                </c:pt>
                <c:pt idx="7">
                  <c:v>301797</c:v>
                </c:pt>
                <c:pt idx="8">
                  <c:v>304499</c:v>
                </c:pt>
                <c:pt idx="9">
                  <c:v>307120</c:v>
                </c:pt>
              </c:numCache>
            </c:numRef>
          </c:val>
          <c:smooth val="0"/>
          <c:extLst>
            <c:ext xmlns:c16="http://schemas.microsoft.com/office/drawing/2014/chart" uri="{C3380CC4-5D6E-409C-BE32-E72D297353CC}">
              <c16:uniqueId val="{00000001-E7C9-43CE-BBF0-417F1E0F8541}"/>
            </c:ext>
          </c:extLst>
        </c:ser>
        <c:dLbls>
          <c:showLegendKey val="0"/>
          <c:showVal val="0"/>
          <c:showCatName val="0"/>
          <c:showSerName val="0"/>
          <c:showPercent val="0"/>
          <c:showBubbleSize val="0"/>
        </c:dLbls>
        <c:smooth val="0"/>
        <c:axId val="1072393008"/>
        <c:axId val="1072393840"/>
        <c:extLst>
          <c:ext xmlns:c15="http://schemas.microsoft.com/office/drawing/2012/chart" uri="{02D57815-91ED-43cb-92C2-25804820EDAC}">
            <c15:filteredLineSeries>
              <c15:ser>
                <c:idx val="0"/>
                <c:order val="0"/>
                <c:tx>
                  <c:strRef>
                    <c:extLst>
                      <c:ext uri="{02D57815-91ED-43cb-92C2-25804820EDAC}">
                        <c15:formulaRef>
                          <c15:sqref>Sheet1!$E$23</c15:sqref>
                        </c15:formulaRef>
                      </c:ext>
                    </c:extLst>
                    <c:strCache>
                      <c:ptCount val="1"/>
                      <c:pt idx="0">
                        <c:v> Very Dense forest cover </c:v>
                      </c:pt>
                    </c:strCache>
                  </c:strRef>
                </c:tx>
                <c:spPr>
                  <a:ln w="38100" cap="rnd">
                    <a:solidFill>
                      <a:schemeClr val="accent1"/>
                    </a:solidFill>
                    <a:round/>
                  </a:ln>
                  <a:effectLst/>
                </c:spPr>
                <c:marker>
                  <c:symbol val="none"/>
                </c:marker>
                <c:cat>
                  <c:numRef>
                    <c:extLst>
                      <c:ext uri="{02D57815-91ED-43cb-92C2-25804820EDAC}">
                        <c15:formulaRef>
                          <c15:sqref>Sheet1!$D$24:$D$33</c15:sqref>
                        </c15:formulaRef>
                      </c:ext>
                    </c:extLst>
                    <c:numCache>
                      <c:formatCode>General</c:formatCode>
                      <c:ptCount val="10"/>
                      <c:pt idx="0">
                        <c:v>2003</c:v>
                      </c:pt>
                      <c:pt idx="1">
                        <c:v>2005</c:v>
                      </c:pt>
                      <c:pt idx="2">
                        <c:v>2007</c:v>
                      </c:pt>
                      <c:pt idx="3">
                        <c:v>2009</c:v>
                      </c:pt>
                      <c:pt idx="4">
                        <c:v>2011</c:v>
                      </c:pt>
                      <c:pt idx="5">
                        <c:v>2013</c:v>
                      </c:pt>
                      <c:pt idx="6">
                        <c:v>2015</c:v>
                      </c:pt>
                      <c:pt idx="7">
                        <c:v>2017</c:v>
                      </c:pt>
                      <c:pt idx="8">
                        <c:v>2019</c:v>
                      </c:pt>
                      <c:pt idx="9">
                        <c:v>2021</c:v>
                      </c:pt>
                    </c:numCache>
                  </c:numRef>
                </c:cat>
                <c:val>
                  <c:numRef>
                    <c:extLst>
                      <c:ext uri="{02D57815-91ED-43cb-92C2-25804820EDAC}">
                        <c15:formulaRef>
                          <c15:sqref>Sheet1!$E$24:$E$33</c15:sqref>
                        </c15:formulaRef>
                      </c:ext>
                    </c:extLst>
                    <c:numCache>
                      <c:formatCode>_ * #,##0_ ;_ * \-#,##0_ ;_ * "-"??_ ;_ @_ </c:formatCode>
                      <c:ptCount val="10"/>
                      <c:pt idx="0">
                        <c:v>51285</c:v>
                      </c:pt>
                      <c:pt idx="1">
                        <c:v>54569</c:v>
                      </c:pt>
                      <c:pt idx="2">
                        <c:v>83510</c:v>
                      </c:pt>
                      <c:pt idx="3">
                        <c:v>83510</c:v>
                      </c:pt>
                      <c:pt idx="4">
                        <c:v>83471</c:v>
                      </c:pt>
                      <c:pt idx="5">
                        <c:v>83502</c:v>
                      </c:pt>
                      <c:pt idx="6">
                        <c:v>85904</c:v>
                      </c:pt>
                      <c:pt idx="7">
                        <c:v>98158</c:v>
                      </c:pt>
                      <c:pt idx="8">
                        <c:v>99278</c:v>
                      </c:pt>
                      <c:pt idx="9">
                        <c:v>99779</c:v>
                      </c:pt>
                    </c:numCache>
                  </c:numRef>
                </c:val>
                <c:smooth val="0"/>
                <c:extLst>
                  <c:ext xmlns:c16="http://schemas.microsoft.com/office/drawing/2014/chart" uri="{C3380CC4-5D6E-409C-BE32-E72D297353CC}">
                    <c16:uniqueId val="{00000002-E7C9-43CE-BBF0-417F1E0F854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Sheet1!$H$23</c15:sqref>
                        </c15:formulaRef>
                      </c:ext>
                    </c:extLst>
                    <c:strCache>
                      <c:ptCount val="1"/>
                      <c:pt idx="0">
                        <c:v> Total forest cover </c:v>
                      </c:pt>
                    </c:strCache>
                  </c:strRef>
                </c:tx>
                <c:spPr>
                  <a:ln w="38100"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Sheet1!$D$24:$D$33</c15:sqref>
                        </c15:formulaRef>
                      </c:ext>
                    </c:extLst>
                    <c:numCache>
                      <c:formatCode>General</c:formatCode>
                      <c:ptCount val="10"/>
                      <c:pt idx="0">
                        <c:v>2003</c:v>
                      </c:pt>
                      <c:pt idx="1">
                        <c:v>2005</c:v>
                      </c:pt>
                      <c:pt idx="2">
                        <c:v>2007</c:v>
                      </c:pt>
                      <c:pt idx="3">
                        <c:v>2009</c:v>
                      </c:pt>
                      <c:pt idx="4">
                        <c:v>2011</c:v>
                      </c:pt>
                      <c:pt idx="5">
                        <c:v>2013</c:v>
                      </c:pt>
                      <c:pt idx="6">
                        <c:v>2015</c:v>
                      </c:pt>
                      <c:pt idx="7">
                        <c:v>2017</c:v>
                      </c:pt>
                      <c:pt idx="8">
                        <c:v>2019</c:v>
                      </c:pt>
                      <c:pt idx="9">
                        <c:v>2021</c:v>
                      </c:pt>
                    </c:numCache>
                  </c:numRef>
                </c:cat>
                <c:val>
                  <c:numRef>
                    <c:extLst xmlns:c15="http://schemas.microsoft.com/office/drawing/2012/chart">
                      <c:ext xmlns:c15="http://schemas.microsoft.com/office/drawing/2012/chart" uri="{02D57815-91ED-43cb-92C2-25804820EDAC}">
                        <c15:formulaRef>
                          <c15:sqref>Sheet1!$H$24:$H$33</c15:sqref>
                        </c15:formulaRef>
                      </c:ext>
                    </c:extLst>
                    <c:numCache>
                      <c:formatCode>_ * #,##0_ ;_ * \-#,##0_ ;_ * "-"??_ ;_ @_ </c:formatCode>
                      <c:ptCount val="10"/>
                      <c:pt idx="0">
                        <c:v>678333</c:v>
                      </c:pt>
                      <c:pt idx="1">
                        <c:v>677088</c:v>
                      </c:pt>
                      <c:pt idx="2">
                        <c:v>690899</c:v>
                      </c:pt>
                      <c:pt idx="3">
                        <c:v>690899</c:v>
                      </c:pt>
                      <c:pt idx="4">
                        <c:v>692027</c:v>
                      </c:pt>
                      <c:pt idx="5">
                        <c:v>697898</c:v>
                      </c:pt>
                      <c:pt idx="6">
                        <c:v>701673</c:v>
                      </c:pt>
                      <c:pt idx="7">
                        <c:v>708273</c:v>
                      </c:pt>
                      <c:pt idx="8">
                        <c:v>712249</c:v>
                      </c:pt>
                      <c:pt idx="9">
                        <c:v>713789</c:v>
                      </c:pt>
                    </c:numCache>
                  </c:numRef>
                </c:val>
                <c:smooth val="0"/>
                <c:extLst xmlns:c15="http://schemas.microsoft.com/office/drawing/2012/chart">
                  <c:ext xmlns:c16="http://schemas.microsoft.com/office/drawing/2014/chart" uri="{C3380CC4-5D6E-409C-BE32-E72D297353CC}">
                    <c16:uniqueId val="{00000003-E7C9-43CE-BBF0-417F1E0F8541}"/>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Sheet1!$I$23</c15:sqref>
                        </c15:formulaRef>
                      </c:ext>
                    </c:extLst>
                    <c:strCache>
                      <c:ptCount val="1"/>
                      <c:pt idx="0">
                        <c:v> Tree cover </c:v>
                      </c:pt>
                    </c:strCache>
                  </c:strRef>
                </c:tx>
                <c:spPr>
                  <a:ln w="38100"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Sheet1!$D$24:$D$33</c15:sqref>
                        </c15:formulaRef>
                      </c:ext>
                    </c:extLst>
                    <c:numCache>
                      <c:formatCode>General</c:formatCode>
                      <c:ptCount val="10"/>
                      <c:pt idx="0">
                        <c:v>2003</c:v>
                      </c:pt>
                      <c:pt idx="1">
                        <c:v>2005</c:v>
                      </c:pt>
                      <c:pt idx="2">
                        <c:v>2007</c:v>
                      </c:pt>
                      <c:pt idx="3">
                        <c:v>2009</c:v>
                      </c:pt>
                      <c:pt idx="4">
                        <c:v>2011</c:v>
                      </c:pt>
                      <c:pt idx="5">
                        <c:v>2013</c:v>
                      </c:pt>
                      <c:pt idx="6">
                        <c:v>2015</c:v>
                      </c:pt>
                      <c:pt idx="7">
                        <c:v>2017</c:v>
                      </c:pt>
                      <c:pt idx="8">
                        <c:v>2019</c:v>
                      </c:pt>
                      <c:pt idx="9">
                        <c:v>2021</c:v>
                      </c:pt>
                    </c:numCache>
                  </c:numRef>
                </c:cat>
                <c:val>
                  <c:numRef>
                    <c:extLst xmlns:c15="http://schemas.microsoft.com/office/drawing/2012/chart">
                      <c:ext xmlns:c15="http://schemas.microsoft.com/office/drawing/2012/chart" uri="{02D57815-91ED-43cb-92C2-25804820EDAC}">
                        <c15:formulaRef>
                          <c15:sqref>Sheet1!$I$24:$I$33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04-E7C9-43CE-BBF0-417F1E0F8541}"/>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Sheet1!$J$23</c15:sqref>
                        </c15:formulaRef>
                      </c:ext>
                    </c:extLst>
                    <c:strCache>
                      <c:ptCount val="1"/>
                      <c:pt idx="0">
                        <c:v> Tree outside forest cover </c:v>
                      </c:pt>
                    </c:strCache>
                  </c:strRef>
                </c:tx>
                <c:spPr>
                  <a:ln w="38100"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Sheet1!$D$24:$D$33</c15:sqref>
                        </c15:formulaRef>
                      </c:ext>
                    </c:extLst>
                    <c:numCache>
                      <c:formatCode>General</c:formatCode>
                      <c:ptCount val="10"/>
                      <c:pt idx="0">
                        <c:v>2003</c:v>
                      </c:pt>
                      <c:pt idx="1">
                        <c:v>2005</c:v>
                      </c:pt>
                      <c:pt idx="2">
                        <c:v>2007</c:v>
                      </c:pt>
                      <c:pt idx="3">
                        <c:v>2009</c:v>
                      </c:pt>
                      <c:pt idx="4">
                        <c:v>2011</c:v>
                      </c:pt>
                      <c:pt idx="5">
                        <c:v>2013</c:v>
                      </c:pt>
                      <c:pt idx="6">
                        <c:v>2015</c:v>
                      </c:pt>
                      <c:pt idx="7">
                        <c:v>2017</c:v>
                      </c:pt>
                      <c:pt idx="8">
                        <c:v>2019</c:v>
                      </c:pt>
                      <c:pt idx="9">
                        <c:v>2021</c:v>
                      </c:pt>
                    </c:numCache>
                  </c:numRef>
                </c:cat>
                <c:val>
                  <c:numRef>
                    <c:extLst xmlns:c15="http://schemas.microsoft.com/office/drawing/2012/chart">
                      <c:ext xmlns:c15="http://schemas.microsoft.com/office/drawing/2012/chart" uri="{02D57815-91ED-43cb-92C2-25804820EDAC}">
                        <c15:formulaRef>
                          <c15:sqref>Sheet1!$J$24:$J$33</c15:sqref>
                        </c15:formulaRef>
                      </c:ext>
                    </c:extLst>
                    <c:numCache>
                      <c:formatCode>General</c:formatCode>
                      <c:ptCount val="10"/>
                      <c:pt idx="2" formatCode="_ * #,##0_ ;_ * \-#,##0_ ;_ * &quot;-&quot;??_ ;_ @_ ">
                        <c:v>2554839</c:v>
                      </c:pt>
                      <c:pt idx="3" formatCode="_ * #,##0_ ;_ * \-#,##0_ ;_ * &quot;-&quot;??_ ;_ @_ ">
                        <c:v>2554839</c:v>
                      </c:pt>
                      <c:pt idx="4" formatCode="_ * #,##0_ ;_ * \-#,##0_ ;_ * &quot;-&quot;??_ ;_ @_ ">
                        <c:v>2553060</c:v>
                      </c:pt>
                      <c:pt idx="5" formatCode="_ * #,##0_ ;_ * \-#,##0_ ;_ * &quot;-&quot;??_ ;_ @_ ">
                        <c:v>2547982</c:v>
                      </c:pt>
                      <c:pt idx="6" formatCode="_ * #,##0_ ;_ * \-#,##0_ ;_ * &quot;-&quot;??_ ;_ @_ ">
                        <c:v>2554228</c:v>
                      </c:pt>
                      <c:pt idx="7" formatCode="_ * #,##0_ ;_ * \-#,##0_ ;_ * &quot;-&quot;??_ ;_ @_ ">
                        <c:v>2533217</c:v>
                      </c:pt>
                      <c:pt idx="8" formatCode="_ * #,##0_ ;_ * \-#,##0_ ;_ * &quot;-&quot;??_ ;_ @_ ">
                        <c:v>2515413</c:v>
                      </c:pt>
                      <c:pt idx="9" formatCode="_ * #,##0_ ;_ * \-#,##0_ ;_ * &quot;-&quot;??_ ;_ @_ ">
                        <c:v>2517874</c:v>
                      </c:pt>
                    </c:numCache>
                  </c:numRef>
                </c:val>
                <c:smooth val="0"/>
                <c:extLst xmlns:c15="http://schemas.microsoft.com/office/drawing/2012/chart">
                  <c:ext xmlns:c16="http://schemas.microsoft.com/office/drawing/2014/chart" uri="{C3380CC4-5D6E-409C-BE32-E72D297353CC}">
                    <c16:uniqueId val="{00000005-E7C9-43CE-BBF0-417F1E0F8541}"/>
                  </c:ext>
                </c:extLst>
              </c15:ser>
            </c15:filteredLineSeries>
          </c:ext>
        </c:extLst>
      </c:lineChart>
      <c:catAx>
        <c:axId val="107239300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2393840"/>
        <c:crosses val="autoZero"/>
        <c:auto val="1"/>
        <c:lblAlgn val="ctr"/>
        <c:lblOffset val="100"/>
        <c:noMultiLvlLbl val="0"/>
      </c:catAx>
      <c:valAx>
        <c:axId val="10723938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land area in (sq km)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2393008"/>
        <c:crosses val="autoZero"/>
        <c:crossBetween val="between"/>
      </c:valAx>
      <c:spPr>
        <a:noFill/>
        <a:ln>
          <a:noFill/>
        </a:ln>
        <a:effectLst/>
      </c:spPr>
    </c:plotArea>
    <c:legend>
      <c:legendPos val="t"/>
      <c:layout>
        <c:manualLayout>
          <c:xMode val="edge"/>
          <c:yMode val="edge"/>
          <c:x val="0.18891321833164385"/>
          <c:y val="0.92425775564246004"/>
          <c:w val="0.60001517924595782"/>
          <c:h val="5.88914414651397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AD9D79384FEB4586EB9780EFA83EF3" ma:contentTypeVersion="18" ma:contentTypeDescription="Create a new document." ma:contentTypeScope="" ma:versionID="beefdceb3859dfcdfb1ccb155a773e81">
  <xsd:schema xmlns:xsd="http://www.w3.org/2001/XMLSchema" xmlns:xs="http://www.w3.org/2001/XMLSchema" xmlns:p="http://schemas.microsoft.com/office/2006/metadata/properties" xmlns:ns3="2268cf45-2748-4821-b15f-7f37154078de" xmlns:ns4="9e932a25-9e2a-4a45-9a74-784c4777649b" targetNamespace="http://schemas.microsoft.com/office/2006/metadata/properties" ma:root="true" ma:fieldsID="b7cb371abef6700dc08c092cec6b9ce8" ns3:_="" ns4:_="">
    <xsd:import namespace="2268cf45-2748-4821-b15f-7f37154078de"/>
    <xsd:import namespace="9e932a25-9e2a-4a45-9a74-784c477764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cf45-2748-4821-b15f-7f371540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32a25-9e2a-4a45-9a74-784c477764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268cf45-2748-4821-b15f-7f37154078de" xsi:nil="true"/>
  </documentManagement>
</p:properties>
</file>

<file path=customXml/itemProps1.xml><?xml version="1.0" encoding="utf-8"?>
<ds:datastoreItem xmlns:ds="http://schemas.openxmlformats.org/officeDocument/2006/customXml" ds:itemID="{3FE60B42-DEC7-4055-ABE1-CBA883B11DFF}">
  <ds:schemaRefs>
    <ds:schemaRef ds:uri="http://schemas.openxmlformats.org/officeDocument/2006/bibliography"/>
  </ds:schemaRefs>
</ds:datastoreItem>
</file>

<file path=customXml/itemProps2.xml><?xml version="1.0" encoding="utf-8"?>
<ds:datastoreItem xmlns:ds="http://schemas.openxmlformats.org/officeDocument/2006/customXml" ds:itemID="{0D2E0380-5BBC-4634-9271-17CC74943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cf45-2748-4821-b15f-7f37154078de"/>
    <ds:schemaRef ds:uri="9e932a25-9e2a-4a45-9a74-784c4777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93DFA-3C14-4F39-AFE1-1717E3C54F4C}">
  <ds:schemaRefs>
    <ds:schemaRef ds:uri="http://schemas.microsoft.com/sharepoint/v3/contenttype/forms"/>
  </ds:schemaRefs>
</ds:datastoreItem>
</file>

<file path=customXml/itemProps4.xml><?xml version="1.0" encoding="utf-8"?>
<ds:datastoreItem xmlns:ds="http://schemas.openxmlformats.org/officeDocument/2006/customXml" ds:itemID="{07F18B11-9A8A-4B25-9B79-48DFCAABCD4B}">
  <ds:schemaRefs>
    <ds:schemaRef ds:uri="http://schemas.microsoft.com/office/2006/metadata/properties"/>
    <ds:schemaRef ds:uri="http://schemas.microsoft.com/office/infopath/2007/PartnerControls"/>
    <ds:schemaRef ds:uri="2268cf45-2748-4821-b15f-7f37154078d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Sharma</dc:creator>
  <cp:keywords/>
  <dc:description/>
  <cp:lastModifiedBy>Anand Sharma</cp:lastModifiedBy>
  <cp:revision>8</cp:revision>
  <dcterms:created xsi:type="dcterms:W3CDTF">2025-05-20T13:23:00Z</dcterms:created>
  <dcterms:modified xsi:type="dcterms:W3CDTF">2025-05-21T08:45:00Z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0x010100BDAD9D79384FEB4586EB9780EFA83EF3</vt:lpwstr>
  </property>
</Properties>
</file>