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1C4FF10A" w:rsidR="00E60C4A" w:rsidRDefault="00E60C4A" w:rsidP="00E60C4A">
      <w:pPr>
        <w:pStyle w:val="StyleRegHead111pt"/>
        <w:numPr>
          <w:ilvl w:val="0"/>
          <w:numId w:val="0"/>
        </w:numPr>
        <w:jc w:val="left"/>
      </w:pPr>
      <w:r>
        <w:t xml:space="preserve">Name of submitter: </w:t>
      </w:r>
      <w:r w:rsidR="00CD3BBF">
        <w:t>Edwin Cogho</w:t>
      </w:r>
    </w:p>
    <w:p w14:paraId="1539A45C" w14:textId="01CEF365" w:rsidR="00E60C4A" w:rsidRDefault="00E60C4A" w:rsidP="00E60C4A">
      <w:pPr>
        <w:pStyle w:val="StyleRegHead111pt"/>
        <w:numPr>
          <w:ilvl w:val="0"/>
          <w:numId w:val="0"/>
        </w:numPr>
        <w:jc w:val="left"/>
      </w:pPr>
      <w:r>
        <w:t>Affiliated organization of the submitter</w:t>
      </w:r>
      <w:r w:rsidR="006D0849">
        <w:t xml:space="preserve"> (if any)</w:t>
      </w:r>
      <w:r>
        <w:t>:</w:t>
      </w:r>
      <w:r w:rsidR="00CD3BBF">
        <w:t xml:space="preserve"> </w:t>
      </w:r>
      <w:r w:rsidR="007B3CF2">
        <w:t>PD-Forum</w:t>
      </w:r>
    </w:p>
    <w:p w14:paraId="5F63183D" w14:textId="12C35C49" w:rsidR="00E60C4A" w:rsidRPr="007F243D" w:rsidRDefault="00E60C4A" w:rsidP="00E60C4A">
      <w:pPr>
        <w:pStyle w:val="StyleRegHead111pt"/>
        <w:numPr>
          <w:ilvl w:val="0"/>
          <w:numId w:val="0"/>
        </w:numPr>
        <w:jc w:val="left"/>
      </w:pPr>
      <w:r>
        <w:t xml:space="preserve">Contact email of submitter: </w:t>
      </w:r>
      <w:r w:rsidR="00CD3BBF">
        <w:t>edwin.cogho@pd-forum.net</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388"/>
        <w:gridCol w:w="1022"/>
        <w:gridCol w:w="992"/>
        <w:gridCol w:w="4762"/>
        <w:gridCol w:w="4253"/>
        <w:gridCol w:w="2552"/>
      </w:tblGrid>
      <w:tr w:rsidR="00863150" w14:paraId="44974AB3" w14:textId="77777777" w:rsidTr="5C309DA7">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388"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5C309DA7">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Pr="007B3CF2" w:rsidRDefault="00863150">
            <w:pPr>
              <w:keepLines/>
              <w:spacing w:before="40" w:after="40" w:line="190" w:lineRule="exact"/>
              <w:jc w:val="center"/>
              <w:rPr>
                <w:b/>
                <w:bCs/>
                <w:sz w:val="16"/>
                <w:szCs w:val="16"/>
              </w:rPr>
            </w:pPr>
            <w:r w:rsidRPr="007B3CF2">
              <w:rPr>
                <w:b/>
                <w:bCs/>
                <w:sz w:val="16"/>
                <w:szCs w:val="16"/>
              </w:rPr>
              <w:t>#</w:t>
            </w:r>
          </w:p>
          <w:p w14:paraId="1BEFCA54" w14:textId="77777777" w:rsidR="00863150" w:rsidRPr="007B3CF2" w:rsidRDefault="00863150" w:rsidP="005242C9">
            <w:pPr>
              <w:keepLines/>
              <w:spacing w:before="40" w:after="40" w:line="190" w:lineRule="exact"/>
              <w:rPr>
                <w:b/>
                <w:bCs/>
                <w:sz w:val="16"/>
                <w:szCs w:val="16"/>
              </w:rPr>
            </w:pPr>
          </w:p>
        </w:tc>
        <w:tc>
          <w:tcPr>
            <w:tcW w:w="1388"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Pr="007B3CF2" w:rsidRDefault="00863150">
            <w:pPr>
              <w:keepLines/>
              <w:spacing w:before="40" w:after="40" w:line="190" w:lineRule="exact"/>
              <w:jc w:val="center"/>
              <w:rPr>
                <w:b/>
                <w:bCs/>
                <w:sz w:val="16"/>
                <w:szCs w:val="16"/>
              </w:rPr>
            </w:pPr>
            <w:r w:rsidRPr="007B3CF2">
              <w:rPr>
                <w:b/>
                <w:bCs/>
                <w:sz w:val="16"/>
                <w:szCs w:val="16"/>
              </w:rPr>
              <w:t>Para No./</w:t>
            </w:r>
            <w:r w:rsidRPr="007B3CF2">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Pr="007B3CF2" w:rsidRDefault="00863150">
            <w:pPr>
              <w:keepLines/>
              <w:spacing w:before="40" w:after="40" w:line="190" w:lineRule="exact"/>
              <w:jc w:val="center"/>
              <w:rPr>
                <w:b/>
                <w:bCs/>
                <w:sz w:val="16"/>
                <w:szCs w:val="16"/>
              </w:rPr>
            </w:pPr>
            <w:r w:rsidRPr="007B3CF2">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Pr="007B3CF2" w:rsidRDefault="00863150">
            <w:pPr>
              <w:keepLines/>
              <w:spacing w:before="40" w:after="40" w:line="190" w:lineRule="exact"/>
              <w:jc w:val="center"/>
              <w:rPr>
                <w:b/>
                <w:bCs/>
                <w:sz w:val="16"/>
                <w:szCs w:val="16"/>
              </w:rPr>
            </w:pPr>
            <w:r w:rsidRPr="007B3CF2">
              <w:rPr>
                <w:b/>
                <w:bCs/>
                <w:sz w:val="16"/>
                <w:szCs w:val="16"/>
              </w:rPr>
              <w:t>Type of comment</w:t>
            </w:r>
          </w:p>
          <w:p w14:paraId="7BC03EA3" w14:textId="77777777" w:rsidR="00863150" w:rsidRPr="007B3CF2" w:rsidRDefault="00863150">
            <w:pPr>
              <w:keepLines/>
              <w:spacing w:before="40" w:after="40" w:line="190" w:lineRule="exact"/>
              <w:jc w:val="center"/>
              <w:rPr>
                <w:rStyle w:val="PageNumber"/>
                <w:b/>
                <w:bCs/>
                <w:sz w:val="16"/>
                <w:szCs w:val="16"/>
              </w:rPr>
            </w:pPr>
            <w:proofErr w:type="spellStart"/>
            <w:r w:rsidRPr="007B3CF2">
              <w:rPr>
                <w:rStyle w:val="PageNumber"/>
                <w:b/>
                <w:bCs/>
                <w:sz w:val="16"/>
                <w:szCs w:val="16"/>
              </w:rPr>
              <w:t>ge</w:t>
            </w:r>
            <w:proofErr w:type="spellEnd"/>
            <w:r w:rsidRPr="007B3CF2">
              <w:rPr>
                <w:rStyle w:val="PageNumber"/>
                <w:b/>
                <w:bCs/>
                <w:sz w:val="16"/>
                <w:szCs w:val="16"/>
              </w:rPr>
              <w:t xml:space="preserve"> = general</w:t>
            </w:r>
          </w:p>
          <w:p w14:paraId="192FE6D5" w14:textId="77777777" w:rsidR="00863150" w:rsidRPr="007B3CF2" w:rsidRDefault="00863150">
            <w:pPr>
              <w:keepLines/>
              <w:spacing w:before="40" w:after="40" w:line="190" w:lineRule="exact"/>
              <w:jc w:val="center"/>
              <w:rPr>
                <w:b/>
                <w:bCs/>
                <w:sz w:val="16"/>
                <w:szCs w:val="16"/>
              </w:rPr>
            </w:pPr>
            <w:proofErr w:type="spellStart"/>
            <w:r w:rsidRPr="007B3CF2">
              <w:rPr>
                <w:rStyle w:val="PageNumber"/>
                <w:b/>
                <w:bCs/>
                <w:sz w:val="16"/>
                <w:szCs w:val="16"/>
              </w:rPr>
              <w:t>te</w:t>
            </w:r>
            <w:proofErr w:type="spellEnd"/>
            <w:r w:rsidRPr="007B3CF2">
              <w:rPr>
                <w:rStyle w:val="PageNumber"/>
                <w:b/>
                <w:bCs/>
                <w:sz w:val="16"/>
                <w:szCs w:val="16"/>
              </w:rPr>
              <w:t xml:space="preserve"> = technical </w:t>
            </w:r>
            <w:r w:rsidRPr="007B3CF2">
              <w:rPr>
                <w:rStyle w:val="PageNumber"/>
                <w:b/>
                <w:bCs/>
                <w:sz w:val="16"/>
                <w:szCs w:val="16"/>
              </w:rPr>
              <w:tab/>
              <w:t xml:space="preserve">ed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Pr="007B3CF2" w:rsidRDefault="00863150">
            <w:pPr>
              <w:keepLines/>
              <w:spacing w:before="40" w:after="40" w:line="190" w:lineRule="exact"/>
              <w:jc w:val="center"/>
              <w:rPr>
                <w:b/>
                <w:bCs/>
                <w:sz w:val="16"/>
                <w:szCs w:val="16"/>
              </w:rPr>
            </w:pPr>
            <w:r w:rsidRPr="007B3CF2">
              <w:rPr>
                <w:b/>
                <w:bCs/>
                <w:sz w:val="16"/>
                <w:szCs w:val="16"/>
              </w:rPr>
              <w:t xml:space="preserve">Comment </w:t>
            </w:r>
          </w:p>
          <w:p w14:paraId="58D30D20" w14:textId="77777777" w:rsidR="00863150" w:rsidRPr="007B3CF2" w:rsidRDefault="00863150">
            <w:pPr>
              <w:keepLines/>
              <w:spacing w:before="40" w:after="40" w:line="190" w:lineRule="exact"/>
              <w:jc w:val="center"/>
              <w:rPr>
                <w:b/>
                <w:bCs/>
                <w:sz w:val="16"/>
                <w:szCs w:val="16"/>
              </w:rPr>
            </w:pPr>
            <w:r w:rsidRPr="007B3CF2">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Pr="007B3CF2" w:rsidRDefault="00863150">
            <w:pPr>
              <w:keepLines/>
              <w:spacing w:before="40" w:after="40" w:line="190" w:lineRule="exact"/>
              <w:jc w:val="center"/>
              <w:rPr>
                <w:b/>
                <w:bCs/>
                <w:sz w:val="16"/>
                <w:szCs w:val="16"/>
              </w:rPr>
            </w:pPr>
            <w:r w:rsidRPr="007B3CF2">
              <w:rPr>
                <w:b/>
                <w:bCs/>
                <w:sz w:val="16"/>
                <w:szCs w:val="16"/>
              </w:rPr>
              <w:t xml:space="preserve">Proposed change </w:t>
            </w:r>
          </w:p>
          <w:p w14:paraId="50091044" w14:textId="77777777" w:rsidR="00863150" w:rsidRPr="007B3CF2" w:rsidRDefault="00863150">
            <w:pPr>
              <w:keepLines/>
              <w:spacing w:before="40" w:after="40" w:line="190" w:lineRule="exact"/>
              <w:jc w:val="center"/>
              <w:rPr>
                <w:b/>
                <w:bCs/>
                <w:sz w:val="16"/>
                <w:szCs w:val="16"/>
              </w:rPr>
            </w:pPr>
            <w:r w:rsidRPr="007B3CF2">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863150" w14:paraId="1DABCE09"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53AF428A" w:rsidR="00863150" w:rsidRPr="007B3CF2" w:rsidRDefault="002D1847">
            <w:pPr>
              <w:keepLines/>
              <w:spacing w:before="40" w:after="40" w:line="190" w:lineRule="exact"/>
              <w:jc w:val="center"/>
              <w:rPr>
                <w:sz w:val="16"/>
                <w:szCs w:val="16"/>
              </w:rPr>
            </w:pPr>
            <w:r w:rsidRPr="007B3CF2">
              <w:rPr>
                <w:sz w:val="16"/>
                <w:szCs w:val="16"/>
              </w:rPr>
              <w:t>1</w:t>
            </w:r>
          </w:p>
        </w:tc>
        <w:tc>
          <w:tcPr>
            <w:tcW w:w="1388" w:type="dxa"/>
            <w:tcBorders>
              <w:top w:val="single" w:sz="6" w:space="0" w:color="auto"/>
              <w:left w:val="single" w:sz="6" w:space="0" w:color="auto"/>
              <w:bottom w:val="single" w:sz="6" w:space="0" w:color="auto"/>
              <w:right w:val="single" w:sz="6" w:space="0" w:color="auto"/>
            </w:tcBorders>
          </w:tcPr>
          <w:p w14:paraId="5C076DD9" w14:textId="4A9EB283" w:rsidR="00863150" w:rsidRPr="007B3CF2" w:rsidRDefault="002D1847">
            <w:pPr>
              <w:keepLines/>
              <w:spacing w:before="40" w:after="40" w:line="190" w:lineRule="exact"/>
              <w:jc w:val="center"/>
              <w:rPr>
                <w:sz w:val="16"/>
                <w:szCs w:val="16"/>
              </w:rPr>
            </w:pPr>
            <w:r w:rsidRPr="007B3CF2">
              <w:rPr>
                <w:sz w:val="16"/>
                <w:szCs w:val="16"/>
              </w:rPr>
              <w:t>16</w:t>
            </w:r>
          </w:p>
        </w:tc>
        <w:tc>
          <w:tcPr>
            <w:tcW w:w="1022" w:type="dxa"/>
            <w:tcBorders>
              <w:top w:val="single" w:sz="6" w:space="0" w:color="auto"/>
              <w:left w:val="single" w:sz="6" w:space="0" w:color="auto"/>
              <w:bottom w:val="single" w:sz="6" w:space="0" w:color="auto"/>
              <w:right w:val="single" w:sz="6" w:space="0" w:color="auto"/>
            </w:tcBorders>
          </w:tcPr>
          <w:p w14:paraId="240E162B" w14:textId="453322A8" w:rsidR="00863150" w:rsidRPr="007B3CF2" w:rsidRDefault="002D1847">
            <w:pPr>
              <w:keepLines/>
              <w:spacing w:before="40" w:after="40" w:line="190" w:lineRule="exact"/>
              <w:jc w:val="center"/>
              <w:rPr>
                <w:sz w:val="16"/>
                <w:szCs w:val="16"/>
              </w:rPr>
            </w:pPr>
            <w:r w:rsidRPr="007B3CF2">
              <w:rPr>
                <w:sz w:val="16"/>
                <w:szCs w:val="16"/>
              </w:rPr>
              <w:t>5</w:t>
            </w:r>
          </w:p>
        </w:tc>
        <w:tc>
          <w:tcPr>
            <w:tcW w:w="992" w:type="dxa"/>
            <w:tcBorders>
              <w:top w:val="single" w:sz="6" w:space="0" w:color="auto"/>
              <w:left w:val="single" w:sz="6" w:space="0" w:color="auto"/>
              <w:bottom w:val="single" w:sz="6" w:space="0" w:color="auto"/>
              <w:right w:val="single" w:sz="6" w:space="0" w:color="auto"/>
            </w:tcBorders>
          </w:tcPr>
          <w:p w14:paraId="4B753E85" w14:textId="1083D84A" w:rsidR="00863150" w:rsidRPr="007B3CF2" w:rsidRDefault="002D1847">
            <w:pPr>
              <w:keepLines/>
              <w:spacing w:before="40" w:after="40" w:line="190" w:lineRule="exact"/>
              <w:jc w:val="center"/>
              <w:rPr>
                <w:sz w:val="16"/>
                <w:szCs w:val="16"/>
              </w:rPr>
            </w:pPr>
            <w:proofErr w:type="spellStart"/>
            <w:r w:rsidRPr="007B3CF2">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6BEC586B" w14:textId="532DDA58" w:rsidR="00863150" w:rsidRPr="007B3CF2" w:rsidRDefault="002D1847">
            <w:pPr>
              <w:keepLines/>
              <w:spacing w:before="40" w:after="40" w:line="190" w:lineRule="exact"/>
              <w:jc w:val="center"/>
              <w:rPr>
                <w:sz w:val="16"/>
                <w:szCs w:val="16"/>
              </w:rPr>
            </w:pPr>
            <w:r w:rsidRPr="007B3CF2">
              <w:rPr>
                <w:sz w:val="16"/>
                <w:szCs w:val="16"/>
              </w:rPr>
              <w:t xml:space="preserve">“Stakeholders may also propose new methodological approaches for calculation of </w:t>
            </w:r>
            <w:proofErr w:type="spellStart"/>
            <w:r w:rsidRPr="007B3CF2">
              <w:rPr>
                <w:sz w:val="16"/>
                <w:szCs w:val="16"/>
              </w:rPr>
              <w:t>fNRB</w:t>
            </w:r>
            <w:proofErr w:type="spellEnd"/>
            <w:r w:rsidRPr="007B3CF2">
              <w:rPr>
                <w:sz w:val="16"/>
                <w:szCs w:val="16"/>
              </w:rPr>
              <w:t xml:space="preserve"> resulting in further advancement in terms of accuracy and conservativeness…”. The use of “conservativeness” is problematic here. Conservativeness should not be a consideration, the values should be accurate, thus accuracy should be at the forefront and not be conservative as values can be accurate, but not conservative and vice versa.</w:t>
            </w:r>
          </w:p>
        </w:tc>
        <w:tc>
          <w:tcPr>
            <w:tcW w:w="4253" w:type="dxa"/>
            <w:tcBorders>
              <w:top w:val="single" w:sz="6" w:space="0" w:color="auto"/>
              <w:left w:val="single" w:sz="6" w:space="0" w:color="auto"/>
              <w:bottom w:val="single" w:sz="6" w:space="0" w:color="auto"/>
              <w:right w:val="single" w:sz="6" w:space="0" w:color="auto"/>
            </w:tcBorders>
          </w:tcPr>
          <w:p w14:paraId="6508F47C" w14:textId="380BF5F5" w:rsidR="00863150" w:rsidRPr="007B3CF2" w:rsidRDefault="002D1847">
            <w:pPr>
              <w:keepLines/>
              <w:spacing w:before="40" w:after="40" w:line="190" w:lineRule="exact"/>
              <w:jc w:val="center"/>
              <w:rPr>
                <w:sz w:val="16"/>
                <w:szCs w:val="16"/>
              </w:rPr>
            </w:pPr>
            <w:r w:rsidRPr="007B3CF2">
              <w:rPr>
                <w:sz w:val="16"/>
                <w:szCs w:val="16"/>
              </w:rPr>
              <w:t xml:space="preserve">Remove “conservativeness” from the text. Suggested text: “Stakeholders may also propose new methodological approaches for calculation of </w:t>
            </w:r>
            <w:proofErr w:type="spellStart"/>
            <w:r w:rsidRPr="007B3CF2">
              <w:rPr>
                <w:sz w:val="16"/>
                <w:szCs w:val="16"/>
              </w:rPr>
              <w:t>fNRB</w:t>
            </w:r>
            <w:proofErr w:type="spellEnd"/>
            <w:r w:rsidRPr="007B3CF2">
              <w:rPr>
                <w:sz w:val="16"/>
                <w:szCs w:val="16"/>
              </w:rPr>
              <w:t xml:space="preserve"> resulting in further advancement in terms of accuracy, for consideration the CDM EB.”</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863150" w:rsidRDefault="00863150">
            <w:pPr>
              <w:keepLines/>
              <w:spacing w:before="40" w:after="40" w:line="190" w:lineRule="exact"/>
              <w:jc w:val="center"/>
              <w:rPr>
                <w:b/>
                <w:bCs/>
                <w:sz w:val="16"/>
                <w:szCs w:val="16"/>
              </w:rPr>
            </w:pPr>
          </w:p>
        </w:tc>
      </w:tr>
      <w:tr w:rsidR="00607F31" w14:paraId="7BCB2812"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630BE0CC" w14:textId="10110E19" w:rsidR="00607F31" w:rsidRPr="007B3CF2" w:rsidRDefault="00607F31" w:rsidP="00607F31">
            <w:pPr>
              <w:keepLines/>
              <w:spacing w:before="40" w:after="40" w:line="190" w:lineRule="exact"/>
              <w:jc w:val="center"/>
              <w:rPr>
                <w:sz w:val="16"/>
                <w:szCs w:val="16"/>
              </w:rPr>
            </w:pPr>
          </w:p>
        </w:tc>
        <w:tc>
          <w:tcPr>
            <w:tcW w:w="1388" w:type="dxa"/>
            <w:tcBorders>
              <w:top w:val="single" w:sz="6" w:space="0" w:color="auto"/>
              <w:left w:val="single" w:sz="6" w:space="0" w:color="auto"/>
              <w:bottom w:val="single" w:sz="6" w:space="0" w:color="auto"/>
              <w:right w:val="single" w:sz="6" w:space="0" w:color="auto"/>
            </w:tcBorders>
          </w:tcPr>
          <w:p w14:paraId="59BBCE6B" w14:textId="07826A78" w:rsidR="00607F31" w:rsidRPr="007B3CF2" w:rsidRDefault="00607F31" w:rsidP="00607F31">
            <w:pPr>
              <w:keepLines/>
              <w:spacing w:before="40" w:after="40" w:line="190" w:lineRule="exact"/>
              <w:jc w:val="center"/>
              <w:rPr>
                <w:sz w:val="16"/>
                <w:szCs w:val="16"/>
              </w:rPr>
            </w:pPr>
            <w:r w:rsidRPr="00607F31">
              <w:rPr>
                <w:rFonts w:eastAsia="Arial"/>
                <w:color w:val="000000" w:themeColor="text1"/>
                <w:sz w:val="16"/>
                <w:szCs w:val="16"/>
              </w:rPr>
              <w:t xml:space="preserve">Table 3.3 </w:t>
            </w:r>
            <w:proofErr w:type="spellStart"/>
            <w:r w:rsidRPr="00607F31">
              <w:rPr>
                <w:rFonts w:eastAsia="Arial"/>
                <w:color w:val="000000" w:themeColor="text1"/>
                <w:sz w:val="16"/>
                <w:szCs w:val="16"/>
              </w:rPr>
              <w:t>fNRB</w:t>
            </w:r>
            <w:proofErr w:type="spellEnd"/>
            <w:r w:rsidRPr="00607F31">
              <w:rPr>
                <w:rFonts w:eastAsia="Arial"/>
                <w:color w:val="000000" w:themeColor="text1"/>
                <w:sz w:val="16"/>
                <w:szCs w:val="16"/>
              </w:rPr>
              <w:t xml:space="preserve"> Values</w:t>
            </w:r>
          </w:p>
        </w:tc>
        <w:tc>
          <w:tcPr>
            <w:tcW w:w="1022" w:type="dxa"/>
            <w:tcBorders>
              <w:top w:val="single" w:sz="6" w:space="0" w:color="auto"/>
              <w:left w:val="single" w:sz="6" w:space="0" w:color="auto"/>
              <w:bottom w:val="single" w:sz="6" w:space="0" w:color="auto"/>
              <w:right w:val="single" w:sz="6" w:space="0" w:color="auto"/>
            </w:tcBorders>
          </w:tcPr>
          <w:p w14:paraId="14EAD6AF" w14:textId="48DBB9EF" w:rsidR="00607F31" w:rsidRPr="007B3CF2" w:rsidRDefault="00607F31" w:rsidP="00607F31">
            <w:pPr>
              <w:keepLines/>
              <w:spacing w:before="40" w:after="40" w:line="190" w:lineRule="exact"/>
              <w:jc w:val="center"/>
              <w:rPr>
                <w:sz w:val="16"/>
                <w:szCs w:val="16"/>
              </w:rPr>
            </w:pPr>
            <w:r w:rsidRPr="00607F31">
              <w:rPr>
                <w:rFonts w:eastAsia="Arial"/>
                <w:color w:val="000000" w:themeColor="text1"/>
                <w:sz w:val="16"/>
                <w:szCs w:val="16"/>
              </w:rPr>
              <w:t>Table 3.3</w:t>
            </w:r>
          </w:p>
        </w:tc>
        <w:tc>
          <w:tcPr>
            <w:tcW w:w="992" w:type="dxa"/>
            <w:tcBorders>
              <w:top w:val="single" w:sz="6" w:space="0" w:color="auto"/>
              <w:left w:val="single" w:sz="6" w:space="0" w:color="auto"/>
              <w:bottom w:val="single" w:sz="6" w:space="0" w:color="auto"/>
              <w:right w:val="single" w:sz="6" w:space="0" w:color="auto"/>
            </w:tcBorders>
          </w:tcPr>
          <w:p w14:paraId="103ABC10" w14:textId="2629A574" w:rsidR="00607F31" w:rsidRPr="007B3CF2" w:rsidRDefault="00607F31" w:rsidP="00607F31">
            <w:pPr>
              <w:keepLines/>
              <w:spacing w:before="40" w:after="40" w:line="190" w:lineRule="exact"/>
              <w:jc w:val="center"/>
              <w:rPr>
                <w:sz w:val="16"/>
                <w:szCs w:val="16"/>
              </w:rPr>
            </w:pPr>
            <w:proofErr w:type="spellStart"/>
            <w:r w:rsidRPr="00607F31">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84D660A" w14:textId="3D54A5D4" w:rsidR="00607F31" w:rsidRPr="00607F31" w:rsidRDefault="00607F31" w:rsidP="00607F31">
            <w:pPr>
              <w:keepLines/>
              <w:spacing w:before="40" w:after="40" w:line="190" w:lineRule="exact"/>
              <w:jc w:val="center"/>
              <w:rPr>
                <w:sz w:val="16"/>
                <w:szCs w:val="16"/>
              </w:rPr>
            </w:pPr>
            <w:r w:rsidRPr="00607F31">
              <w:rPr>
                <w:sz w:val="16"/>
                <w:szCs w:val="16"/>
              </w:rPr>
              <w:t>We have noticed that the sub-national default values have been removed, without explanation. We suggest allowing the use of such subnational values until further data/research provides updated numbers. If the reason for removing them was lack of confidence in the existing values, we propose to at least create a work stream in the MP to properly develop such figures, as they will greatly increase accuracy and bring values closer to the reality of project-based activities, without jeopardizing project feasibility.</w:t>
            </w:r>
          </w:p>
        </w:tc>
        <w:tc>
          <w:tcPr>
            <w:tcW w:w="4253" w:type="dxa"/>
            <w:tcBorders>
              <w:top w:val="single" w:sz="6" w:space="0" w:color="auto"/>
              <w:left w:val="single" w:sz="6" w:space="0" w:color="auto"/>
              <w:bottom w:val="single" w:sz="6" w:space="0" w:color="auto"/>
              <w:right w:val="single" w:sz="6" w:space="0" w:color="auto"/>
            </w:tcBorders>
          </w:tcPr>
          <w:p w14:paraId="2895B92F" w14:textId="77777777" w:rsidR="00607F31" w:rsidRPr="00607F31" w:rsidRDefault="00607F31" w:rsidP="00607F31">
            <w:pPr>
              <w:pStyle w:val="ListParagraph"/>
              <w:numPr>
                <w:ilvl w:val="0"/>
                <w:numId w:val="4"/>
              </w:numPr>
              <w:spacing w:after="160" w:line="259" w:lineRule="auto"/>
              <w:ind w:left="586" w:hanging="567"/>
              <w:rPr>
                <w:sz w:val="16"/>
                <w:szCs w:val="16"/>
              </w:rPr>
            </w:pPr>
            <w:r w:rsidRPr="00607F31">
              <w:rPr>
                <w:sz w:val="16"/>
                <w:szCs w:val="16"/>
              </w:rPr>
              <w:t>Continue allowing the use of subnational values until further data is provided by reliable sources, especially at the local/regional level or (ii) mandate the establishment of a workstream in the MP to develop such sub-national values, transparently explaining why the subnational values have been removed, so that concerns be properly addressed as part of the additional work.</w:t>
            </w:r>
          </w:p>
          <w:p w14:paraId="0C505844" w14:textId="15D85DDE" w:rsidR="00607F31" w:rsidRPr="00607F31" w:rsidRDefault="00607F31" w:rsidP="00607F31">
            <w:pPr>
              <w:pStyle w:val="ListParagraph"/>
              <w:numPr>
                <w:ilvl w:val="0"/>
                <w:numId w:val="4"/>
              </w:numPr>
              <w:spacing w:after="160" w:line="259" w:lineRule="auto"/>
              <w:ind w:left="586" w:hanging="567"/>
              <w:rPr>
                <w:sz w:val="16"/>
                <w:szCs w:val="16"/>
              </w:rPr>
            </w:pPr>
            <w:r w:rsidRPr="00607F31">
              <w:rPr>
                <w:sz w:val="16"/>
                <w:szCs w:val="16"/>
              </w:rPr>
              <w:t xml:space="preserve">Allow country governments and PDs to use MoFuSS-derived </w:t>
            </w:r>
            <w:proofErr w:type="spellStart"/>
            <w:r w:rsidRPr="00607F31">
              <w:rPr>
                <w:sz w:val="16"/>
                <w:szCs w:val="16"/>
              </w:rPr>
              <w:t>fNRB</w:t>
            </w:r>
            <w:proofErr w:type="spellEnd"/>
            <w:r w:rsidRPr="00607F31">
              <w:rPr>
                <w:sz w:val="16"/>
                <w:szCs w:val="16"/>
              </w:rPr>
              <w:t xml:space="preserve"> values at either a national or sub-national value. This will allow governments or PDs to strengthen </w:t>
            </w:r>
            <w:proofErr w:type="spellStart"/>
            <w:r w:rsidRPr="00607F31">
              <w:rPr>
                <w:sz w:val="16"/>
                <w:szCs w:val="16"/>
              </w:rPr>
              <w:t>fNRB</w:t>
            </w:r>
            <w:proofErr w:type="spellEnd"/>
            <w:r w:rsidRPr="00607F31">
              <w:rPr>
                <w:sz w:val="16"/>
                <w:szCs w:val="16"/>
              </w:rPr>
              <w:t xml:space="preserve"> values in their countries or project areas by using country- or project-specific data (instead of global data sets, as was used in MoFuSS).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607F31" w:rsidRDefault="00607F31" w:rsidP="00607F31">
            <w:pPr>
              <w:keepLines/>
              <w:spacing w:before="40" w:after="40" w:line="190" w:lineRule="exact"/>
              <w:jc w:val="center"/>
              <w:rPr>
                <w:b/>
                <w:bCs/>
                <w:sz w:val="16"/>
                <w:szCs w:val="16"/>
              </w:rPr>
            </w:pPr>
          </w:p>
        </w:tc>
      </w:tr>
      <w:tr w:rsidR="00863150" w14:paraId="1DD2AA5D"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3BCD2FCE" w14:textId="6157719C" w:rsidR="00863150" w:rsidRPr="007B3CF2" w:rsidRDefault="00863150">
            <w:pPr>
              <w:keepLines/>
              <w:spacing w:before="40" w:after="40" w:line="190" w:lineRule="exact"/>
              <w:jc w:val="center"/>
              <w:rPr>
                <w:sz w:val="16"/>
                <w:szCs w:val="16"/>
              </w:rPr>
            </w:pPr>
          </w:p>
        </w:tc>
        <w:tc>
          <w:tcPr>
            <w:tcW w:w="1388" w:type="dxa"/>
            <w:tcBorders>
              <w:top w:val="single" w:sz="6" w:space="0" w:color="auto"/>
              <w:left w:val="single" w:sz="6" w:space="0" w:color="auto"/>
              <w:bottom w:val="single" w:sz="6" w:space="0" w:color="auto"/>
              <w:right w:val="single" w:sz="6" w:space="0" w:color="auto"/>
            </w:tcBorders>
          </w:tcPr>
          <w:p w14:paraId="49AFBB31" w14:textId="6E8AE3F0" w:rsidR="00863150" w:rsidRPr="007B3CF2" w:rsidRDefault="00863150">
            <w:pPr>
              <w:keepLines/>
              <w:spacing w:before="40" w:after="40" w:line="190" w:lineRule="exact"/>
              <w:jc w:val="center"/>
              <w:rPr>
                <w:sz w:val="16"/>
                <w:szCs w:val="16"/>
              </w:rPr>
            </w:pPr>
          </w:p>
        </w:tc>
        <w:tc>
          <w:tcPr>
            <w:tcW w:w="1022" w:type="dxa"/>
            <w:tcBorders>
              <w:top w:val="single" w:sz="6" w:space="0" w:color="auto"/>
              <w:left w:val="single" w:sz="6" w:space="0" w:color="auto"/>
              <w:bottom w:val="single" w:sz="6" w:space="0" w:color="auto"/>
              <w:right w:val="single" w:sz="6" w:space="0" w:color="auto"/>
            </w:tcBorders>
          </w:tcPr>
          <w:p w14:paraId="75AD19F8" w14:textId="66192AC6" w:rsidR="00863150" w:rsidRPr="007B3CF2" w:rsidRDefault="00863150">
            <w:pPr>
              <w:keepLines/>
              <w:spacing w:before="40" w:after="40" w:line="190" w:lineRule="exact"/>
              <w:jc w:val="center"/>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0CCA30C3" w14:textId="22A97CC8" w:rsidR="00863150" w:rsidRPr="007B3CF2" w:rsidRDefault="00AB7D06">
            <w:pPr>
              <w:keepLines/>
              <w:spacing w:before="40" w:after="40" w:line="190" w:lineRule="exact"/>
              <w:jc w:val="center"/>
              <w:rPr>
                <w:sz w:val="16"/>
                <w:szCs w:val="16"/>
              </w:rPr>
            </w:pPr>
            <w:proofErr w:type="spellStart"/>
            <w:r>
              <w:rPr>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43BD7172" w14:textId="22AC8520" w:rsidR="006A4C13" w:rsidRPr="007B3CF2" w:rsidRDefault="424017B8" w:rsidP="424017B8">
            <w:pPr>
              <w:keepLines/>
              <w:spacing w:before="40" w:after="40" w:line="190" w:lineRule="exact"/>
              <w:jc w:val="center"/>
              <w:rPr>
                <w:sz w:val="16"/>
                <w:szCs w:val="16"/>
              </w:rPr>
            </w:pPr>
            <w:r w:rsidRPr="007B3CF2">
              <w:rPr>
                <w:sz w:val="16"/>
                <w:szCs w:val="16"/>
              </w:rPr>
              <w:t>During the last public consultation period, numerous comments were raised in relation to the MoFuSS model. It is not clear in the updated Tool 33 whether these concerns / comments were addressed in the current version of Tool 33.</w:t>
            </w:r>
          </w:p>
        </w:tc>
        <w:tc>
          <w:tcPr>
            <w:tcW w:w="4253" w:type="dxa"/>
            <w:tcBorders>
              <w:top w:val="single" w:sz="6" w:space="0" w:color="auto"/>
              <w:left w:val="single" w:sz="6" w:space="0" w:color="auto"/>
              <w:bottom w:val="single" w:sz="6" w:space="0" w:color="auto"/>
              <w:right w:val="single" w:sz="6" w:space="0" w:color="auto"/>
            </w:tcBorders>
          </w:tcPr>
          <w:p w14:paraId="55B5FCA0" w14:textId="03BAFEFA" w:rsidR="00863150" w:rsidRPr="007B3CF2" w:rsidRDefault="00607F31">
            <w:pPr>
              <w:keepLines/>
              <w:spacing w:before="40" w:after="40" w:line="190" w:lineRule="exact"/>
              <w:jc w:val="center"/>
              <w:rPr>
                <w:sz w:val="16"/>
                <w:szCs w:val="16"/>
              </w:rPr>
            </w:pPr>
            <w:r>
              <w:rPr>
                <w:sz w:val="16"/>
                <w:szCs w:val="16"/>
              </w:rPr>
              <w:t>Provide a tracking table or change log on how the MoFuSS model was amended post last public consultation.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863150" w:rsidRDefault="00863150">
            <w:pPr>
              <w:keepLines/>
              <w:spacing w:before="40" w:after="40" w:line="190" w:lineRule="exact"/>
              <w:jc w:val="center"/>
              <w:rPr>
                <w:b/>
                <w:bCs/>
                <w:sz w:val="16"/>
                <w:szCs w:val="16"/>
              </w:rPr>
            </w:pPr>
          </w:p>
        </w:tc>
      </w:tr>
      <w:tr w:rsidR="00863150" w14:paraId="4452319A"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37DC1D4D" w14:textId="783B0D90" w:rsidR="5C309DA7" w:rsidRDefault="5C309DA7" w:rsidP="5C309DA7">
            <w:pPr>
              <w:keepLines/>
              <w:spacing w:before="40" w:after="40" w:line="190" w:lineRule="exact"/>
              <w:jc w:val="center"/>
              <w:rPr>
                <w:rFonts w:eastAsia="Arial"/>
                <w:color w:val="000000" w:themeColor="text1"/>
                <w:sz w:val="16"/>
                <w:szCs w:val="16"/>
              </w:rPr>
            </w:pPr>
            <w:r w:rsidRPr="5C309DA7">
              <w:rPr>
                <w:rFonts w:eastAsia="Arial"/>
                <w:b/>
                <w:bCs/>
                <w:color w:val="000000" w:themeColor="text1"/>
                <w:sz w:val="16"/>
                <w:szCs w:val="16"/>
              </w:rPr>
              <w:t>1</w:t>
            </w:r>
          </w:p>
        </w:tc>
        <w:tc>
          <w:tcPr>
            <w:tcW w:w="1388" w:type="dxa"/>
            <w:tcBorders>
              <w:top w:val="single" w:sz="6" w:space="0" w:color="auto"/>
              <w:left w:val="single" w:sz="6" w:space="0" w:color="auto"/>
              <w:bottom w:val="single" w:sz="6" w:space="0" w:color="auto"/>
              <w:right w:val="single" w:sz="6" w:space="0" w:color="auto"/>
            </w:tcBorders>
          </w:tcPr>
          <w:p w14:paraId="2B89B2CB" w14:textId="62E8DADB"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5.3</w:t>
            </w:r>
          </w:p>
        </w:tc>
        <w:tc>
          <w:tcPr>
            <w:tcW w:w="1022" w:type="dxa"/>
            <w:tcBorders>
              <w:top w:val="single" w:sz="6" w:space="0" w:color="auto"/>
              <w:left w:val="single" w:sz="6" w:space="0" w:color="auto"/>
              <w:bottom w:val="single" w:sz="6" w:space="0" w:color="auto"/>
              <w:right w:val="single" w:sz="6" w:space="0" w:color="auto"/>
            </w:tcBorders>
          </w:tcPr>
          <w:p w14:paraId="61955EBD" w14:textId="47C402AD"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14</w:t>
            </w:r>
          </w:p>
        </w:tc>
        <w:tc>
          <w:tcPr>
            <w:tcW w:w="992" w:type="dxa"/>
            <w:tcBorders>
              <w:top w:val="single" w:sz="6" w:space="0" w:color="auto"/>
              <w:left w:val="single" w:sz="6" w:space="0" w:color="auto"/>
              <w:bottom w:val="single" w:sz="6" w:space="0" w:color="auto"/>
              <w:right w:val="single" w:sz="6" w:space="0" w:color="auto"/>
            </w:tcBorders>
          </w:tcPr>
          <w:p w14:paraId="3D6AE5EF" w14:textId="7CAB7BCA" w:rsidR="5C309DA7" w:rsidRPr="007B3CF2" w:rsidRDefault="5C309DA7" w:rsidP="5C309DA7">
            <w:pPr>
              <w:keepLines/>
              <w:spacing w:before="40" w:after="40"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1368930" w14:textId="7224301C"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Lack of Regional Variation in WCCF Defaults</w:t>
            </w:r>
          </w:p>
          <w:p w14:paraId="3C198C37" w14:textId="5CC0476E"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The default WCCF of 4:1 does not reflect regional variation in kiln types, wood moisture content, or traditional vs. improved carbonization technologies. Field studies and national surveys (e.g., in Kenya, Rwanda, Ghana) show WCCF ranging from 4.5 to 7.5 in traditional systems and 3.5–4.5 in improved kilns.</w:t>
            </w:r>
          </w:p>
          <w:p w14:paraId="339C60B9" w14:textId="38509590"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Here is a list of publications that reflect the discrepancy observed here: </w:t>
            </w:r>
            <w:hyperlink r:id="rId10">
              <w:r w:rsidRPr="5C309DA7">
                <w:rPr>
                  <w:rStyle w:val="Hyperlink"/>
                  <w:rFonts w:eastAsia="Arial"/>
                  <w:sz w:val="16"/>
                  <w:szCs w:val="16"/>
                </w:rPr>
                <w:t>LINK</w:t>
              </w:r>
            </w:hyperlink>
          </w:p>
        </w:tc>
        <w:tc>
          <w:tcPr>
            <w:tcW w:w="4253" w:type="dxa"/>
            <w:tcBorders>
              <w:top w:val="single" w:sz="6" w:space="0" w:color="auto"/>
              <w:left w:val="single" w:sz="6" w:space="0" w:color="auto"/>
              <w:bottom w:val="single" w:sz="6" w:space="0" w:color="auto"/>
              <w:right w:val="single" w:sz="6" w:space="0" w:color="auto"/>
            </w:tcBorders>
          </w:tcPr>
          <w:p w14:paraId="0FDBFB45" w14:textId="34E7D618"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Provide region-specific default WCCF values or allow country-specific values to override the default when supported by peer-reviewed or Host Country-endorsed data.</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9716CA" w14:textId="77777777" w:rsidR="00863150" w:rsidRDefault="00863150">
            <w:pPr>
              <w:keepLines/>
              <w:spacing w:before="40" w:after="40" w:line="190" w:lineRule="exact"/>
              <w:jc w:val="center"/>
              <w:rPr>
                <w:b/>
                <w:bCs/>
                <w:sz w:val="16"/>
                <w:szCs w:val="16"/>
              </w:rPr>
            </w:pPr>
          </w:p>
        </w:tc>
      </w:tr>
      <w:tr w:rsidR="00863150" w14:paraId="20DC6649"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3BD70AC4" w14:textId="33A65590"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2</w:t>
            </w:r>
          </w:p>
        </w:tc>
        <w:tc>
          <w:tcPr>
            <w:tcW w:w="1388" w:type="dxa"/>
            <w:tcBorders>
              <w:top w:val="single" w:sz="6" w:space="0" w:color="auto"/>
              <w:left w:val="single" w:sz="6" w:space="0" w:color="auto"/>
              <w:bottom w:val="single" w:sz="6" w:space="0" w:color="auto"/>
              <w:right w:val="single" w:sz="6" w:space="0" w:color="auto"/>
            </w:tcBorders>
          </w:tcPr>
          <w:p w14:paraId="39533643" w14:textId="1A5BE515"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5.3</w:t>
            </w:r>
          </w:p>
        </w:tc>
        <w:tc>
          <w:tcPr>
            <w:tcW w:w="1022" w:type="dxa"/>
            <w:tcBorders>
              <w:top w:val="single" w:sz="6" w:space="0" w:color="auto"/>
              <w:left w:val="single" w:sz="6" w:space="0" w:color="auto"/>
              <w:bottom w:val="single" w:sz="6" w:space="0" w:color="auto"/>
              <w:right w:val="single" w:sz="6" w:space="0" w:color="auto"/>
            </w:tcBorders>
          </w:tcPr>
          <w:p w14:paraId="15C4842E" w14:textId="5EC16ADC"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14</w:t>
            </w:r>
          </w:p>
        </w:tc>
        <w:tc>
          <w:tcPr>
            <w:tcW w:w="992" w:type="dxa"/>
            <w:tcBorders>
              <w:top w:val="single" w:sz="6" w:space="0" w:color="auto"/>
              <w:left w:val="single" w:sz="6" w:space="0" w:color="auto"/>
              <w:bottom w:val="single" w:sz="6" w:space="0" w:color="auto"/>
              <w:right w:val="single" w:sz="6" w:space="0" w:color="auto"/>
            </w:tcBorders>
          </w:tcPr>
          <w:p w14:paraId="44B5D294" w14:textId="4059A9CF" w:rsidR="5C309DA7" w:rsidRPr="007B3CF2" w:rsidRDefault="5C309DA7" w:rsidP="5C309DA7">
            <w:pPr>
              <w:keepLines/>
              <w:spacing w:before="40" w:after="40"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7055000" w14:textId="6329D085"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Transparency in Data Sources and Assumptions</w:t>
            </w:r>
          </w:p>
          <w:p w14:paraId="1C86AC4C" w14:textId="0A847B9C"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The source data and assumptions behind the WCCF default are not disclosed in the tool. This makes it difficult for project developers and host country stakeholders to verify or validate the factor.</w:t>
            </w:r>
          </w:p>
        </w:tc>
        <w:tc>
          <w:tcPr>
            <w:tcW w:w="4253" w:type="dxa"/>
            <w:tcBorders>
              <w:top w:val="single" w:sz="6" w:space="0" w:color="auto"/>
              <w:left w:val="single" w:sz="6" w:space="0" w:color="auto"/>
              <w:bottom w:val="single" w:sz="6" w:space="0" w:color="auto"/>
              <w:right w:val="single" w:sz="6" w:space="0" w:color="auto"/>
            </w:tcBorders>
          </w:tcPr>
          <w:p w14:paraId="5E806EDF" w14:textId="414F5566"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Publish a transparent methodology note or annex explaining the derivation of the 4.0 default, including moisture content assumptions, carbonization type, kiln efficiency, kiln type and geographic basis.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863150" w:rsidRDefault="00863150">
            <w:pPr>
              <w:keepLines/>
              <w:spacing w:before="40" w:after="40" w:line="190" w:lineRule="exact"/>
              <w:jc w:val="center"/>
              <w:rPr>
                <w:b/>
                <w:bCs/>
                <w:sz w:val="16"/>
                <w:szCs w:val="16"/>
              </w:rPr>
            </w:pPr>
          </w:p>
        </w:tc>
      </w:tr>
      <w:tr w:rsidR="00863150" w14:paraId="0554E67B"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7DBDE3D7" w14:textId="0AB82E44"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3</w:t>
            </w:r>
          </w:p>
        </w:tc>
        <w:tc>
          <w:tcPr>
            <w:tcW w:w="1388" w:type="dxa"/>
            <w:tcBorders>
              <w:top w:val="single" w:sz="6" w:space="0" w:color="auto"/>
              <w:left w:val="single" w:sz="6" w:space="0" w:color="auto"/>
              <w:bottom w:val="single" w:sz="6" w:space="0" w:color="auto"/>
              <w:right w:val="single" w:sz="6" w:space="0" w:color="auto"/>
            </w:tcBorders>
          </w:tcPr>
          <w:p w14:paraId="743396B3" w14:textId="4EE87234"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5.3</w:t>
            </w:r>
          </w:p>
        </w:tc>
        <w:tc>
          <w:tcPr>
            <w:tcW w:w="1022" w:type="dxa"/>
            <w:tcBorders>
              <w:top w:val="single" w:sz="6" w:space="0" w:color="auto"/>
              <w:left w:val="single" w:sz="6" w:space="0" w:color="auto"/>
              <w:bottom w:val="single" w:sz="6" w:space="0" w:color="auto"/>
              <w:right w:val="single" w:sz="6" w:space="0" w:color="auto"/>
            </w:tcBorders>
          </w:tcPr>
          <w:p w14:paraId="61E72007" w14:textId="42023ACB"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14</w:t>
            </w:r>
          </w:p>
        </w:tc>
        <w:tc>
          <w:tcPr>
            <w:tcW w:w="992" w:type="dxa"/>
            <w:tcBorders>
              <w:top w:val="single" w:sz="6" w:space="0" w:color="auto"/>
              <w:left w:val="single" w:sz="6" w:space="0" w:color="auto"/>
              <w:bottom w:val="single" w:sz="6" w:space="0" w:color="auto"/>
              <w:right w:val="single" w:sz="6" w:space="0" w:color="auto"/>
            </w:tcBorders>
          </w:tcPr>
          <w:p w14:paraId="7AB0F87B" w14:textId="7E80DD21" w:rsidR="5C309DA7" w:rsidRPr="007B3CF2" w:rsidRDefault="5C309DA7" w:rsidP="5C309DA7">
            <w:pPr>
              <w:keepLines/>
              <w:spacing w:before="40" w:after="40"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4ED05D6" w14:textId="6D942419"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Conflict with Host Country Defaults or Surveys</w:t>
            </w:r>
          </w:p>
          <w:p w14:paraId="4F47B12D" w14:textId="09D50B56"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Several Host Countries have issued national energy statistics or biomass conversion studies with different WCCF values. Using a flat global default risks misalignment with national MRV systems and could undermine host country ownership.</w:t>
            </w:r>
          </w:p>
        </w:tc>
        <w:tc>
          <w:tcPr>
            <w:tcW w:w="4253" w:type="dxa"/>
            <w:tcBorders>
              <w:top w:val="single" w:sz="6" w:space="0" w:color="auto"/>
              <w:left w:val="single" w:sz="6" w:space="0" w:color="auto"/>
              <w:bottom w:val="single" w:sz="6" w:space="0" w:color="auto"/>
              <w:right w:val="single" w:sz="6" w:space="0" w:color="auto"/>
            </w:tcBorders>
          </w:tcPr>
          <w:p w14:paraId="3D9495D6" w14:textId="7B733D31"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Allow substitution of the default with Host Country-approved WCCF values, where documented through credible and peer-reviewed national studies or public energy surveys.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863150" w:rsidRDefault="00863150">
            <w:pPr>
              <w:keepLines/>
              <w:spacing w:before="40" w:after="40" w:line="190" w:lineRule="exact"/>
              <w:jc w:val="center"/>
              <w:rPr>
                <w:b/>
                <w:bCs/>
                <w:sz w:val="16"/>
                <w:szCs w:val="16"/>
              </w:rPr>
            </w:pPr>
          </w:p>
        </w:tc>
      </w:tr>
      <w:tr w:rsidR="00863150" w14:paraId="0E02DDEE"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264A19B7" w14:textId="2A050BF7"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4</w:t>
            </w:r>
          </w:p>
        </w:tc>
        <w:tc>
          <w:tcPr>
            <w:tcW w:w="1388" w:type="dxa"/>
            <w:tcBorders>
              <w:top w:val="single" w:sz="6" w:space="0" w:color="auto"/>
              <w:left w:val="single" w:sz="6" w:space="0" w:color="auto"/>
              <w:bottom w:val="single" w:sz="6" w:space="0" w:color="auto"/>
              <w:right w:val="single" w:sz="6" w:space="0" w:color="auto"/>
            </w:tcBorders>
          </w:tcPr>
          <w:p w14:paraId="15A8269E" w14:textId="599644C6"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5.3</w:t>
            </w:r>
          </w:p>
        </w:tc>
        <w:tc>
          <w:tcPr>
            <w:tcW w:w="1022" w:type="dxa"/>
            <w:tcBorders>
              <w:top w:val="single" w:sz="6" w:space="0" w:color="auto"/>
              <w:left w:val="single" w:sz="6" w:space="0" w:color="auto"/>
              <w:bottom w:val="single" w:sz="6" w:space="0" w:color="auto"/>
              <w:right w:val="single" w:sz="6" w:space="0" w:color="auto"/>
            </w:tcBorders>
          </w:tcPr>
          <w:p w14:paraId="0CC23117" w14:textId="0E65607A"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14</w:t>
            </w:r>
          </w:p>
        </w:tc>
        <w:tc>
          <w:tcPr>
            <w:tcW w:w="992" w:type="dxa"/>
            <w:tcBorders>
              <w:top w:val="single" w:sz="6" w:space="0" w:color="auto"/>
              <w:left w:val="single" w:sz="6" w:space="0" w:color="auto"/>
              <w:bottom w:val="single" w:sz="6" w:space="0" w:color="auto"/>
              <w:right w:val="single" w:sz="6" w:space="0" w:color="auto"/>
            </w:tcBorders>
          </w:tcPr>
          <w:p w14:paraId="7EDA9465" w14:textId="7F687981" w:rsidR="5C309DA7" w:rsidRPr="007B3CF2" w:rsidRDefault="5C309DA7" w:rsidP="5C309DA7">
            <w:pPr>
              <w:keepLines/>
              <w:spacing w:before="40" w:after="40"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E59678C" w14:textId="37DA6FC0"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No Guidance on Fuelwood Basis (Wet vs. Dry)</w:t>
            </w:r>
          </w:p>
          <w:p w14:paraId="3B600567" w14:textId="32584043"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The default WCCF of 4.0 (wet basis) does not clarify the assumed moisture content range of the input wood, which can vary substantially across geographies and seasons.</w:t>
            </w:r>
          </w:p>
        </w:tc>
        <w:tc>
          <w:tcPr>
            <w:tcW w:w="4253" w:type="dxa"/>
            <w:tcBorders>
              <w:top w:val="single" w:sz="6" w:space="0" w:color="auto"/>
              <w:left w:val="single" w:sz="6" w:space="0" w:color="auto"/>
              <w:bottom w:val="single" w:sz="6" w:space="0" w:color="auto"/>
              <w:right w:val="single" w:sz="6" w:space="0" w:color="auto"/>
            </w:tcBorders>
          </w:tcPr>
          <w:p w14:paraId="4F5E5E83" w14:textId="6B700837"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Clarify the assumed moisture content (e.g., 20%, 30%) and provide a sensitivity range or conversion method to adjust the WCCF accordingly in cases where field data are reported on a dry basis.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673A80D" w14:textId="77777777" w:rsidR="00863150" w:rsidRDefault="00863150">
            <w:pPr>
              <w:keepLines/>
              <w:spacing w:before="40" w:after="40" w:line="190" w:lineRule="exact"/>
              <w:jc w:val="center"/>
              <w:rPr>
                <w:b/>
                <w:bCs/>
                <w:sz w:val="16"/>
                <w:szCs w:val="16"/>
              </w:rPr>
            </w:pPr>
          </w:p>
        </w:tc>
      </w:tr>
      <w:tr w:rsidR="00863150" w14:paraId="5C9827B7"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24A93047" w14:textId="1F330ED3"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5</w:t>
            </w:r>
          </w:p>
        </w:tc>
        <w:tc>
          <w:tcPr>
            <w:tcW w:w="1388" w:type="dxa"/>
            <w:tcBorders>
              <w:top w:val="single" w:sz="6" w:space="0" w:color="auto"/>
              <w:left w:val="single" w:sz="6" w:space="0" w:color="auto"/>
              <w:bottom w:val="single" w:sz="6" w:space="0" w:color="auto"/>
              <w:right w:val="single" w:sz="6" w:space="0" w:color="auto"/>
            </w:tcBorders>
          </w:tcPr>
          <w:p w14:paraId="3BA1C815" w14:textId="0C94F8D1"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5.4</w:t>
            </w:r>
          </w:p>
        </w:tc>
        <w:tc>
          <w:tcPr>
            <w:tcW w:w="1022" w:type="dxa"/>
            <w:tcBorders>
              <w:top w:val="single" w:sz="6" w:space="0" w:color="auto"/>
              <w:left w:val="single" w:sz="6" w:space="0" w:color="auto"/>
              <w:bottom w:val="single" w:sz="6" w:space="0" w:color="auto"/>
              <w:right w:val="single" w:sz="6" w:space="0" w:color="auto"/>
            </w:tcBorders>
          </w:tcPr>
          <w:p w14:paraId="521E9F17" w14:textId="1C0CF138"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15</w:t>
            </w:r>
          </w:p>
        </w:tc>
        <w:tc>
          <w:tcPr>
            <w:tcW w:w="992" w:type="dxa"/>
            <w:tcBorders>
              <w:top w:val="single" w:sz="6" w:space="0" w:color="auto"/>
              <w:left w:val="single" w:sz="6" w:space="0" w:color="auto"/>
              <w:bottom w:val="single" w:sz="6" w:space="0" w:color="auto"/>
              <w:right w:val="single" w:sz="6" w:space="0" w:color="auto"/>
            </w:tcBorders>
          </w:tcPr>
          <w:p w14:paraId="25B63D5E" w14:textId="04C16BC9" w:rsidR="5C309DA7" w:rsidRPr="007B3CF2" w:rsidRDefault="5C309DA7" w:rsidP="5C309DA7">
            <w:pPr>
              <w:keepLines/>
              <w:spacing w:before="40" w:after="40"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9FC75D9" w14:textId="06390142"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KPT data submitted by developers shows much higher fuelwood consumption than the assumed 0.4 t/person/year in MoFuSS. Ignoring this leads to underestimation of emissions.</w:t>
            </w:r>
          </w:p>
        </w:tc>
        <w:tc>
          <w:tcPr>
            <w:tcW w:w="4253" w:type="dxa"/>
            <w:tcBorders>
              <w:top w:val="single" w:sz="6" w:space="0" w:color="auto"/>
              <w:left w:val="single" w:sz="6" w:space="0" w:color="auto"/>
              <w:bottom w:val="single" w:sz="6" w:space="0" w:color="auto"/>
              <w:right w:val="single" w:sz="6" w:space="0" w:color="auto"/>
            </w:tcBorders>
          </w:tcPr>
          <w:p w14:paraId="5486A16A" w14:textId="1CDE7141"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Incorporate KPT data submitted by the PD Forum and other country-specific surveys as default or adjust the default to reflect this wider dataset (e.g., SSA: 0.71 t/person/year).</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E6B7C9B" w14:textId="77777777" w:rsidR="00863150" w:rsidRDefault="00863150">
            <w:pPr>
              <w:keepLines/>
              <w:spacing w:before="40" w:after="40" w:line="190" w:lineRule="exact"/>
              <w:jc w:val="center"/>
              <w:rPr>
                <w:b/>
                <w:bCs/>
                <w:sz w:val="16"/>
                <w:szCs w:val="16"/>
              </w:rPr>
            </w:pPr>
          </w:p>
        </w:tc>
      </w:tr>
      <w:tr w:rsidR="00863150" w14:paraId="68B3B5E7"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21B0AFA5" w14:textId="4076108E"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6</w:t>
            </w:r>
          </w:p>
        </w:tc>
        <w:tc>
          <w:tcPr>
            <w:tcW w:w="1388" w:type="dxa"/>
            <w:tcBorders>
              <w:top w:val="single" w:sz="6" w:space="0" w:color="auto"/>
              <w:left w:val="single" w:sz="6" w:space="0" w:color="auto"/>
              <w:bottom w:val="single" w:sz="6" w:space="0" w:color="auto"/>
              <w:right w:val="single" w:sz="6" w:space="0" w:color="auto"/>
            </w:tcBorders>
          </w:tcPr>
          <w:p w14:paraId="36A0AD6B" w14:textId="025444F1"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5.5</w:t>
            </w:r>
          </w:p>
        </w:tc>
        <w:tc>
          <w:tcPr>
            <w:tcW w:w="1022" w:type="dxa"/>
            <w:tcBorders>
              <w:top w:val="single" w:sz="6" w:space="0" w:color="auto"/>
              <w:left w:val="single" w:sz="6" w:space="0" w:color="auto"/>
              <w:bottom w:val="single" w:sz="6" w:space="0" w:color="auto"/>
              <w:right w:val="single" w:sz="6" w:space="0" w:color="auto"/>
            </w:tcBorders>
          </w:tcPr>
          <w:p w14:paraId="73C1EA5B" w14:textId="2493094F"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16</w:t>
            </w:r>
          </w:p>
        </w:tc>
        <w:tc>
          <w:tcPr>
            <w:tcW w:w="992" w:type="dxa"/>
            <w:tcBorders>
              <w:top w:val="single" w:sz="6" w:space="0" w:color="auto"/>
              <w:left w:val="single" w:sz="6" w:space="0" w:color="auto"/>
              <w:bottom w:val="single" w:sz="6" w:space="0" w:color="auto"/>
              <w:right w:val="single" w:sz="6" w:space="0" w:color="auto"/>
            </w:tcBorders>
          </w:tcPr>
          <w:p w14:paraId="287DF821" w14:textId="1BD9E1DC" w:rsidR="5C309DA7" w:rsidRPr="007B3CF2" w:rsidRDefault="5C309DA7" w:rsidP="5C309DA7">
            <w:pPr>
              <w:keepLines/>
              <w:spacing w:before="40" w:after="40"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C980312" w14:textId="12BD4298"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The MoFuSS tool has not undergone adequate validation or approval from DNAs. The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estimates should be delayed until scientific consensus and stakeholder feedback from Host Countries can be incorporated.</w:t>
            </w:r>
          </w:p>
        </w:tc>
        <w:tc>
          <w:tcPr>
            <w:tcW w:w="4253" w:type="dxa"/>
            <w:tcBorders>
              <w:top w:val="single" w:sz="6" w:space="0" w:color="auto"/>
              <w:left w:val="single" w:sz="6" w:space="0" w:color="auto"/>
              <w:bottom w:val="single" w:sz="6" w:space="0" w:color="auto"/>
              <w:right w:val="single" w:sz="6" w:space="0" w:color="auto"/>
            </w:tcBorders>
          </w:tcPr>
          <w:p w14:paraId="482ACA5E" w14:textId="04899226" w:rsidR="5C309DA7" w:rsidRDefault="5C309DA7" w:rsidP="5C309DA7">
            <w:pPr>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Delay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default publication until validation by DNAs and expert review is complete. Establish a transparent country consultation process for data and model acceptance.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A85C3C2" w14:textId="77777777" w:rsidR="00863150" w:rsidRDefault="00863150">
            <w:pPr>
              <w:keepLines/>
              <w:spacing w:before="40" w:after="40" w:line="190" w:lineRule="exact"/>
              <w:jc w:val="center"/>
              <w:rPr>
                <w:b/>
                <w:bCs/>
                <w:sz w:val="16"/>
                <w:szCs w:val="16"/>
              </w:rPr>
            </w:pPr>
          </w:p>
        </w:tc>
      </w:tr>
      <w:tr w:rsidR="00863150" w14:paraId="27BA32EE"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3494C45E" w14:textId="5DF5B249"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lastRenderedPageBreak/>
              <w:t>7</w:t>
            </w:r>
          </w:p>
        </w:tc>
        <w:tc>
          <w:tcPr>
            <w:tcW w:w="1388" w:type="dxa"/>
            <w:tcBorders>
              <w:top w:val="single" w:sz="6" w:space="0" w:color="auto"/>
              <w:left w:val="single" w:sz="6" w:space="0" w:color="auto"/>
              <w:bottom w:val="single" w:sz="6" w:space="0" w:color="auto"/>
              <w:right w:val="single" w:sz="6" w:space="0" w:color="auto"/>
            </w:tcBorders>
          </w:tcPr>
          <w:p w14:paraId="21B2234B" w14:textId="340C17EB"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5.5</w:t>
            </w:r>
          </w:p>
        </w:tc>
        <w:tc>
          <w:tcPr>
            <w:tcW w:w="1022" w:type="dxa"/>
            <w:tcBorders>
              <w:top w:val="single" w:sz="6" w:space="0" w:color="auto"/>
              <w:left w:val="single" w:sz="6" w:space="0" w:color="auto"/>
              <w:bottom w:val="single" w:sz="6" w:space="0" w:color="auto"/>
              <w:right w:val="single" w:sz="6" w:space="0" w:color="auto"/>
            </w:tcBorders>
          </w:tcPr>
          <w:p w14:paraId="387F03CE" w14:textId="1206124A"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16</w:t>
            </w:r>
          </w:p>
        </w:tc>
        <w:tc>
          <w:tcPr>
            <w:tcW w:w="992" w:type="dxa"/>
            <w:tcBorders>
              <w:top w:val="single" w:sz="6" w:space="0" w:color="auto"/>
              <w:left w:val="single" w:sz="6" w:space="0" w:color="auto"/>
              <w:bottom w:val="single" w:sz="6" w:space="0" w:color="auto"/>
              <w:right w:val="single" w:sz="6" w:space="0" w:color="auto"/>
            </w:tcBorders>
          </w:tcPr>
          <w:p w14:paraId="7FA76A00" w14:textId="1CE4A471" w:rsidR="5C309DA7" w:rsidRPr="007B3CF2" w:rsidRDefault="5C309DA7" w:rsidP="5C309DA7">
            <w:pPr>
              <w:keepLines/>
              <w:spacing w:before="40" w:after="40"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4603760" w14:textId="486EB6CB" w:rsidR="5C309DA7" w:rsidRDefault="5C309DA7" w:rsidP="007B3CF2">
            <w:pPr>
              <w:spacing w:before="40" w:after="40" w:line="190" w:lineRule="exact"/>
              <w:jc w:val="left"/>
              <w:rPr>
                <w:rFonts w:eastAsia="Arial"/>
                <w:color w:val="000000" w:themeColor="text1"/>
                <w:sz w:val="16"/>
                <w:szCs w:val="16"/>
              </w:rPr>
            </w:pPr>
            <w:r w:rsidRPr="5C309DA7">
              <w:rPr>
                <w:rFonts w:eastAsia="Arial"/>
                <w:color w:val="000000" w:themeColor="text1"/>
                <w:sz w:val="16"/>
                <w:szCs w:val="16"/>
              </w:rPr>
              <w:t>MoFuSS values rely on outdated datasets (&gt;10 years old), yet the model is presented as generating national defaults. This undermines credibility unless local data inputs are integrated.</w:t>
            </w:r>
          </w:p>
        </w:tc>
        <w:tc>
          <w:tcPr>
            <w:tcW w:w="4253" w:type="dxa"/>
            <w:tcBorders>
              <w:top w:val="single" w:sz="6" w:space="0" w:color="auto"/>
              <w:left w:val="single" w:sz="6" w:space="0" w:color="auto"/>
              <w:bottom w:val="single" w:sz="6" w:space="0" w:color="auto"/>
              <w:right w:val="single" w:sz="6" w:space="0" w:color="auto"/>
            </w:tcBorders>
          </w:tcPr>
          <w:p w14:paraId="02A89CD0" w14:textId="3ED24D32" w:rsidR="5C309DA7" w:rsidRDefault="5C309DA7" w:rsidP="5C309DA7">
            <w:pPr>
              <w:spacing w:before="40" w:after="40" w:line="190" w:lineRule="exact"/>
              <w:jc w:val="left"/>
              <w:rPr>
                <w:rFonts w:eastAsia="Arial"/>
                <w:color w:val="000000" w:themeColor="text1"/>
                <w:sz w:val="16"/>
                <w:szCs w:val="16"/>
              </w:rPr>
            </w:pPr>
            <w:r w:rsidRPr="5C309DA7">
              <w:rPr>
                <w:rFonts w:eastAsia="Arial"/>
                <w:color w:val="000000" w:themeColor="text1"/>
                <w:sz w:val="16"/>
                <w:szCs w:val="16"/>
              </w:rPr>
              <w:t>Enable project developers to submit updated, locally validated biomass stock data. Only release national defaults when current data (e.g. post-2020) are used or validated.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2CB9906" w14:textId="77777777" w:rsidR="00863150" w:rsidRDefault="00863150">
            <w:pPr>
              <w:keepLines/>
              <w:spacing w:before="40" w:after="40" w:line="190" w:lineRule="exact"/>
              <w:jc w:val="center"/>
              <w:rPr>
                <w:b/>
                <w:bCs/>
                <w:sz w:val="16"/>
                <w:szCs w:val="16"/>
              </w:rPr>
            </w:pPr>
          </w:p>
        </w:tc>
      </w:tr>
      <w:tr w:rsidR="00863150" w14:paraId="7E97068E"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108B074E" w14:textId="22774DA2"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8</w:t>
            </w:r>
          </w:p>
        </w:tc>
        <w:tc>
          <w:tcPr>
            <w:tcW w:w="1388" w:type="dxa"/>
            <w:tcBorders>
              <w:top w:val="single" w:sz="6" w:space="0" w:color="auto"/>
              <w:left w:val="single" w:sz="6" w:space="0" w:color="auto"/>
              <w:bottom w:val="single" w:sz="6" w:space="0" w:color="auto"/>
              <w:right w:val="single" w:sz="6" w:space="0" w:color="auto"/>
            </w:tcBorders>
          </w:tcPr>
          <w:p w14:paraId="0B9DF4A5" w14:textId="309D1518"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5.5</w:t>
            </w:r>
          </w:p>
        </w:tc>
        <w:tc>
          <w:tcPr>
            <w:tcW w:w="1022" w:type="dxa"/>
            <w:tcBorders>
              <w:top w:val="single" w:sz="6" w:space="0" w:color="auto"/>
              <w:left w:val="single" w:sz="6" w:space="0" w:color="auto"/>
              <w:bottom w:val="single" w:sz="6" w:space="0" w:color="auto"/>
              <w:right w:val="single" w:sz="6" w:space="0" w:color="auto"/>
            </w:tcBorders>
          </w:tcPr>
          <w:p w14:paraId="580203E4" w14:textId="084D7BE4"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16</w:t>
            </w:r>
          </w:p>
        </w:tc>
        <w:tc>
          <w:tcPr>
            <w:tcW w:w="992" w:type="dxa"/>
            <w:tcBorders>
              <w:top w:val="single" w:sz="6" w:space="0" w:color="auto"/>
              <w:left w:val="single" w:sz="6" w:space="0" w:color="auto"/>
              <w:bottom w:val="single" w:sz="6" w:space="0" w:color="auto"/>
              <w:right w:val="single" w:sz="6" w:space="0" w:color="auto"/>
            </w:tcBorders>
          </w:tcPr>
          <w:p w14:paraId="7B31D4B2" w14:textId="33718861" w:rsidR="5C309DA7" w:rsidRPr="007B3CF2" w:rsidRDefault="5C309DA7" w:rsidP="5C309DA7">
            <w:pPr>
              <w:keepLines/>
              <w:spacing w:before="40" w:after="40"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1BD7FA13" w14:textId="5DFC4DBE" w:rsidR="5C309DA7" w:rsidRDefault="5C309DA7" w:rsidP="5C309DA7">
            <w:pPr>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The current definition of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focuses on total harvest, not marginal reductions. This departs from the approach in AMS-</w:t>
            </w:r>
            <w:proofErr w:type="gramStart"/>
            <w:r w:rsidRPr="5C309DA7">
              <w:rPr>
                <w:rFonts w:eastAsia="Arial"/>
                <w:color w:val="000000" w:themeColor="text1"/>
                <w:sz w:val="16"/>
                <w:szCs w:val="16"/>
              </w:rPr>
              <w:t>II.</w:t>
            </w:r>
            <w:r w:rsidR="00AB7D06">
              <w:rPr>
                <w:rFonts w:eastAsia="Arial"/>
                <w:color w:val="000000" w:themeColor="text1"/>
                <w:sz w:val="16"/>
                <w:szCs w:val="16"/>
              </w:rPr>
              <w:t>G</w:t>
            </w:r>
            <w:proofErr w:type="gramEnd"/>
            <w:r w:rsidRPr="5C309DA7">
              <w:rPr>
                <w:rFonts w:eastAsia="Arial"/>
                <w:color w:val="000000" w:themeColor="text1"/>
                <w:sz w:val="16"/>
                <w:szCs w:val="16"/>
              </w:rPr>
              <w:t>, risking misalignment with efficiency methodologies.</w:t>
            </w:r>
          </w:p>
        </w:tc>
        <w:tc>
          <w:tcPr>
            <w:tcW w:w="4253" w:type="dxa"/>
            <w:tcBorders>
              <w:top w:val="single" w:sz="6" w:space="0" w:color="auto"/>
              <w:left w:val="single" w:sz="6" w:space="0" w:color="auto"/>
              <w:bottom w:val="single" w:sz="6" w:space="0" w:color="auto"/>
              <w:right w:val="single" w:sz="6" w:space="0" w:color="auto"/>
            </w:tcBorders>
          </w:tcPr>
          <w:p w14:paraId="6BEE9F98" w14:textId="410FF1AC" w:rsidR="5C309DA7" w:rsidRDefault="5C309DA7" w:rsidP="5C309DA7">
            <w:pPr>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Support generation and use of marginal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values using MoFuSS scenarios that compare business-as-usual vs. intervention scenarios.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31959CF" w14:textId="77777777" w:rsidR="00863150" w:rsidRDefault="00863150">
            <w:pPr>
              <w:keepLines/>
              <w:spacing w:before="40" w:after="40" w:line="190" w:lineRule="exact"/>
              <w:jc w:val="center"/>
              <w:rPr>
                <w:b/>
                <w:bCs/>
                <w:sz w:val="16"/>
                <w:szCs w:val="16"/>
              </w:rPr>
            </w:pPr>
          </w:p>
        </w:tc>
      </w:tr>
      <w:tr w:rsidR="00863150" w14:paraId="3B9D658A"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46892472" w14:textId="628EE30D"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9</w:t>
            </w:r>
          </w:p>
        </w:tc>
        <w:tc>
          <w:tcPr>
            <w:tcW w:w="1388" w:type="dxa"/>
            <w:tcBorders>
              <w:top w:val="single" w:sz="6" w:space="0" w:color="auto"/>
              <w:left w:val="single" w:sz="6" w:space="0" w:color="auto"/>
              <w:bottom w:val="single" w:sz="6" w:space="0" w:color="auto"/>
              <w:right w:val="single" w:sz="6" w:space="0" w:color="auto"/>
            </w:tcBorders>
          </w:tcPr>
          <w:p w14:paraId="47316BC2" w14:textId="7D35738A"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5.5</w:t>
            </w:r>
          </w:p>
        </w:tc>
        <w:tc>
          <w:tcPr>
            <w:tcW w:w="1022" w:type="dxa"/>
            <w:tcBorders>
              <w:top w:val="single" w:sz="6" w:space="0" w:color="auto"/>
              <w:left w:val="single" w:sz="6" w:space="0" w:color="auto"/>
              <w:bottom w:val="single" w:sz="6" w:space="0" w:color="auto"/>
              <w:right w:val="single" w:sz="6" w:space="0" w:color="auto"/>
            </w:tcBorders>
          </w:tcPr>
          <w:p w14:paraId="3DD77A6E" w14:textId="25A08F66"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16</w:t>
            </w:r>
          </w:p>
        </w:tc>
        <w:tc>
          <w:tcPr>
            <w:tcW w:w="992" w:type="dxa"/>
            <w:tcBorders>
              <w:top w:val="single" w:sz="6" w:space="0" w:color="auto"/>
              <w:left w:val="single" w:sz="6" w:space="0" w:color="auto"/>
              <w:bottom w:val="single" w:sz="6" w:space="0" w:color="auto"/>
              <w:right w:val="single" w:sz="6" w:space="0" w:color="auto"/>
            </w:tcBorders>
          </w:tcPr>
          <w:p w14:paraId="23E6D7E5" w14:textId="1F1A669D" w:rsidR="5C309DA7" w:rsidRPr="007B3CF2" w:rsidRDefault="5C309DA7" w:rsidP="5C309DA7">
            <w:pPr>
              <w:keepLines/>
              <w:spacing w:before="40" w:after="40"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41D5B3E1" w14:textId="644BDEB8" w:rsidR="5C309DA7" w:rsidRDefault="5C309DA7" w:rsidP="5C309DA7">
            <w:pPr>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The current definition of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focuses on total harvest, not marginal reductions. This departs from the approach in AMS-</w:t>
            </w:r>
            <w:proofErr w:type="gramStart"/>
            <w:r w:rsidRPr="5C309DA7">
              <w:rPr>
                <w:rFonts w:eastAsia="Arial"/>
                <w:color w:val="000000" w:themeColor="text1"/>
                <w:sz w:val="16"/>
                <w:szCs w:val="16"/>
              </w:rPr>
              <w:t>II.</w:t>
            </w:r>
            <w:r w:rsidR="00AB7D06">
              <w:rPr>
                <w:rFonts w:eastAsia="Arial"/>
                <w:color w:val="000000" w:themeColor="text1"/>
                <w:sz w:val="16"/>
                <w:szCs w:val="16"/>
              </w:rPr>
              <w:t>G</w:t>
            </w:r>
            <w:proofErr w:type="gramEnd"/>
            <w:r w:rsidRPr="5C309DA7">
              <w:rPr>
                <w:rFonts w:eastAsia="Arial"/>
                <w:color w:val="000000" w:themeColor="text1"/>
                <w:sz w:val="16"/>
                <w:szCs w:val="16"/>
              </w:rPr>
              <w:t>, risking misalignment with efficiency methodologies.</w:t>
            </w:r>
          </w:p>
        </w:tc>
        <w:tc>
          <w:tcPr>
            <w:tcW w:w="4253" w:type="dxa"/>
            <w:tcBorders>
              <w:top w:val="single" w:sz="6" w:space="0" w:color="auto"/>
              <w:left w:val="single" w:sz="6" w:space="0" w:color="auto"/>
              <w:bottom w:val="single" w:sz="6" w:space="0" w:color="auto"/>
              <w:right w:val="single" w:sz="6" w:space="0" w:color="auto"/>
            </w:tcBorders>
          </w:tcPr>
          <w:p w14:paraId="1910C14B" w14:textId="6E7C98B7"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We need a dedicated budget and project plan to develop a MoFuSS based marginal approach for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which will represent the impact of a cookstove project more accurately</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DEEC236" w14:textId="77777777" w:rsidR="00863150" w:rsidRDefault="00863150">
            <w:pPr>
              <w:keepLines/>
              <w:spacing w:before="40" w:after="40" w:line="190" w:lineRule="exact"/>
              <w:jc w:val="center"/>
              <w:rPr>
                <w:b/>
                <w:bCs/>
                <w:sz w:val="16"/>
                <w:szCs w:val="16"/>
              </w:rPr>
            </w:pPr>
          </w:p>
        </w:tc>
      </w:tr>
      <w:tr w:rsidR="00863150" w14:paraId="40B8270E"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7780A1A4" w14:textId="190A3A67"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10</w:t>
            </w:r>
          </w:p>
        </w:tc>
        <w:tc>
          <w:tcPr>
            <w:tcW w:w="1388" w:type="dxa"/>
            <w:tcBorders>
              <w:top w:val="single" w:sz="6" w:space="0" w:color="auto"/>
              <w:left w:val="single" w:sz="6" w:space="0" w:color="auto"/>
              <w:bottom w:val="single" w:sz="6" w:space="0" w:color="auto"/>
              <w:right w:val="single" w:sz="6" w:space="0" w:color="auto"/>
            </w:tcBorders>
          </w:tcPr>
          <w:p w14:paraId="4054E829" w14:textId="59D67441"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5.5</w:t>
            </w:r>
          </w:p>
        </w:tc>
        <w:tc>
          <w:tcPr>
            <w:tcW w:w="1022" w:type="dxa"/>
            <w:tcBorders>
              <w:top w:val="single" w:sz="6" w:space="0" w:color="auto"/>
              <w:left w:val="single" w:sz="6" w:space="0" w:color="auto"/>
              <w:bottom w:val="single" w:sz="6" w:space="0" w:color="auto"/>
              <w:right w:val="single" w:sz="6" w:space="0" w:color="auto"/>
            </w:tcBorders>
          </w:tcPr>
          <w:p w14:paraId="29C23E3B" w14:textId="73F367A3"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16</w:t>
            </w:r>
          </w:p>
        </w:tc>
        <w:tc>
          <w:tcPr>
            <w:tcW w:w="992" w:type="dxa"/>
            <w:tcBorders>
              <w:top w:val="single" w:sz="6" w:space="0" w:color="auto"/>
              <w:left w:val="single" w:sz="6" w:space="0" w:color="auto"/>
              <w:bottom w:val="single" w:sz="6" w:space="0" w:color="auto"/>
              <w:right w:val="single" w:sz="6" w:space="0" w:color="auto"/>
            </w:tcBorders>
          </w:tcPr>
          <w:p w14:paraId="7168AB9C" w14:textId="62EA57AE" w:rsidR="5C309DA7" w:rsidRPr="007B3CF2" w:rsidRDefault="5C309DA7" w:rsidP="5C309DA7">
            <w:pPr>
              <w:keepLines/>
              <w:spacing w:before="40" w:after="40"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9F695D1" w14:textId="67686D14" w:rsidR="5C309DA7" w:rsidRDefault="5C309DA7" w:rsidP="5C309DA7">
            <w:pPr>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TOOL 33 currently reflects average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across total national/regional harvest. However, carbon projects reduce biomass usage at the margin—they displace the most recent, incremental harvesting that would otherwise occur.</w:t>
            </w:r>
          </w:p>
        </w:tc>
        <w:tc>
          <w:tcPr>
            <w:tcW w:w="4253" w:type="dxa"/>
            <w:tcBorders>
              <w:top w:val="single" w:sz="6" w:space="0" w:color="auto"/>
              <w:left w:val="single" w:sz="6" w:space="0" w:color="auto"/>
              <w:bottom w:val="single" w:sz="6" w:space="0" w:color="auto"/>
              <w:right w:val="single" w:sz="6" w:space="0" w:color="auto"/>
            </w:tcBorders>
          </w:tcPr>
          <w:p w14:paraId="165787A3" w14:textId="734319ED"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Allow for use of marginal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values, justified using credible models (e.g., MoFuSS), to reflect the emissions avoided by project activities more accurately.</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863150" w:rsidRDefault="00863150">
            <w:pPr>
              <w:keepLines/>
              <w:spacing w:before="40" w:after="40" w:line="190" w:lineRule="exact"/>
              <w:jc w:val="center"/>
              <w:rPr>
                <w:b/>
                <w:bCs/>
                <w:sz w:val="16"/>
                <w:szCs w:val="16"/>
              </w:rPr>
            </w:pPr>
          </w:p>
        </w:tc>
      </w:tr>
      <w:tr w:rsidR="00863150" w14:paraId="62E5AA74"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3B533F65" w14:textId="37036CBD"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11</w:t>
            </w:r>
          </w:p>
        </w:tc>
        <w:tc>
          <w:tcPr>
            <w:tcW w:w="1388" w:type="dxa"/>
            <w:tcBorders>
              <w:top w:val="single" w:sz="6" w:space="0" w:color="auto"/>
              <w:left w:val="single" w:sz="6" w:space="0" w:color="auto"/>
              <w:bottom w:val="single" w:sz="6" w:space="0" w:color="auto"/>
              <w:right w:val="single" w:sz="6" w:space="0" w:color="auto"/>
            </w:tcBorders>
          </w:tcPr>
          <w:p w14:paraId="18CE1BF0" w14:textId="589C742B"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5.5</w:t>
            </w:r>
          </w:p>
        </w:tc>
        <w:tc>
          <w:tcPr>
            <w:tcW w:w="1022" w:type="dxa"/>
            <w:tcBorders>
              <w:top w:val="single" w:sz="6" w:space="0" w:color="auto"/>
              <w:left w:val="single" w:sz="6" w:space="0" w:color="auto"/>
              <w:bottom w:val="single" w:sz="6" w:space="0" w:color="auto"/>
              <w:right w:val="single" w:sz="6" w:space="0" w:color="auto"/>
            </w:tcBorders>
          </w:tcPr>
          <w:p w14:paraId="6F9C9053" w14:textId="654CEA3A"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16</w:t>
            </w:r>
          </w:p>
        </w:tc>
        <w:tc>
          <w:tcPr>
            <w:tcW w:w="992" w:type="dxa"/>
            <w:tcBorders>
              <w:top w:val="single" w:sz="6" w:space="0" w:color="auto"/>
              <w:left w:val="single" w:sz="6" w:space="0" w:color="auto"/>
              <w:bottom w:val="single" w:sz="6" w:space="0" w:color="auto"/>
              <w:right w:val="single" w:sz="6" w:space="0" w:color="auto"/>
            </w:tcBorders>
          </w:tcPr>
          <w:p w14:paraId="0B17D526" w14:textId="4CC9893B" w:rsidR="5C309DA7" w:rsidRPr="007B3CF2" w:rsidRDefault="5C309DA7" w:rsidP="5C309DA7">
            <w:pPr>
              <w:keepLines/>
              <w:spacing w:before="40" w:after="40"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5464C025" w14:textId="730448F3" w:rsidR="5C309DA7" w:rsidRDefault="5C309DA7" w:rsidP="5C309DA7">
            <w:pPr>
              <w:spacing w:before="40" w:after="40" w:line="190" w:lineRule="exact"/>
              <w:jc w:val="left"/>
              <w:rPr>
                <w:rFonts w:eastAsia="Arial"/>
                <w:color w:val="000000" w:themeColor="text1"/>
                <w:sz w:val="16"/>
                <w:szCs w:val="16"/>
              </w:rPr>
            </w:pPr>
            <w:r w:rsidRPr="5C309DA7">
              <w:rPr>
                <w:rFonts w:eastAsia="Arial"/>
                <w:color w:val="000000" w:themeColor="text1"/>
                <w:sz w:val="16"/>
                <w:szCs w:val="16"/>
              </w:rPr>
              <w:t>MoFuSS excludes biomass from land clearance (e.g., for agriculture) despite its contribution to fuelwood. This contradicts observed field dynamics in Sub-Saharan Africa.</w:t>
            </w:r>
          </w:p>
        </w:tc>
        <w:tc>
          <w:tcPr>
            <w:tcW w:w="4253" w:type="dxa"/>
            <w:tcBorders>
              <w:top w:val="single" w:sz="6" w:space="0" w:color="auto"/>
              <w:left w:val="single" w:sz="6" w:space="0" w:color="auto"/>
              <w:bottom w:val="single" w:sz="6" w:space="0" w:color="auto"/>
              <w:right w:val="single" w:sz="6" w:space="0" w:color="auto"/>
            </w:tcBorders>
          </w:tcPr>
          <w:p w14:paraId="255B3186" w14:textId="3CB421AC" w:rsidR="5C309DA7" w:rsidRDefault="5C309DA7" w:rsidP="5C309DA7">
            <w:pPr>
              <w:spacing w:before="40" w:after="40" w:line="190" w:lineRule="exact"/>
              <w:jc w:val="left"/>
              <w:rPr>
                <w:rFonts w:eastAsia="Arial"/>
                <w:color w:val="000000" w:themeColor="text1"/>
                <w:sz w:val="16"/>
                <w:szCs w:val="16"/>
              </w:rPr>
            </w:pPr>
            <w:r w:rsidRPr="5C309DA7">
              <w:rPr>
                <w:rFonts w:eastAsia="Arial"/>
                <w:color w:val="000000" w:themeColor="text1"/>
                <w:sz w:val="16"/>
                <w:szCs w:val="16"/>
              </w:rPr>
              <w:t>Include deadwood and deforestation by-products as a parameter contributing to renewable biomass or justify their exclusion quantitatively.</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7F16D" w14:textId="77777777" w:rsidR="00863150" w:rsidRDefault="00863150">
            <w:pPr>
              <w:keepLines/>
              <w:spacing w:before="40" w:after="40" w:line="190" w:lineRule="exact"/>
              <w:jc w:val="center"/>
              <w:rPr>
                <w:b/>
                <w:bCs/>
                <w:sz w:val="16"/>
                <w:szCs w:val="16"/>
              </w:rPr>
            </w:pPr>
          </w:p>
        </w:tc>
      </w:tr>
      <w:tr w:rsidR="00863150" w14:paraId="335D5762"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5FFA9CDF" w14:textId="3B67FC65"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lastRenderedPageBreak/>
              <w:t>12</w:t>
            </w:r>
          </w:p>
        </w:tc>
        <w:tc>
          <w:tcPr>
            <w:tcW w:w="1388" w:type="dxa"/>
            <w:tcBorders>
              <w:top w:val="single" w:sz="6" w:space="0" w:color="auto"/>
              <w:left w:val="single" w:sz="6" w:space="0" w:color="auto"/>
              <w:bottom w:val="single" w:sz="6" w:space="0" w:color="auto"/>
              <w:right w:val="single" w:sz="6" w:space="0" w:color="auto"/>
            </w:tcBorders>
          </w:tcPr>
          <w:p w14:paraId="6ACADDAA" w14:textId="7D89A0CE"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5.5</w:t>
            </w:r>
          </w:p>
        </w:tc>
        <w:tc>
          <w:tcPr>
            <w:tcW w:w="1022" w:type="dxa"/>
            <w:tcBorders>
              <w:top w:val="single" w:sz="6" w:space="0" w:color="auto"/>
              <w:left w:val="single" w:sz="6" w:space="0" w:color="auto"/>
              <w:bottom w:val="single" w:sz="6" w:space="0" w:color="auto"/>
              <w:right w:val="single" w:sz="6" w:space="0" w:color="auto"/>
            </w:tcBorders>
          </w:tcPr>
          <w:p w14:paraId="0F61AFCB" w14:textId="5A7A3013"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16</w:t>
            </w:r>
          </w:p>
        </w:tc>
        <w:tc>
          <w:tcPr>
            <w:tcW w:w="992" w:type="dxa"/>
            <w:tcBorders>
              <w:top w:val="single" w:sz="6" w:space="0" w:color="auto"/>
              <w:left w:val="single" w:sz="6" w:space="0" w:color="auto"/>
              <w:bottom w:val="single" w:sz="6" w:space="0" w:color="auto"/>
              <w:right w:val="single" w:sz="6" w:space="0" w:color="auto"/>
            </w:tcBorders>
          </w:tcPr>
          <w:p w14:paraId="5199F7AA" w14:textId="3AB9D1F4" w:rsidR="5C309DA7" w:rsidRPr="007B3CF2" w:rsidRDefault="5C309DA7" w:rsidP="5C309DA7">
            <w:pPr>
              <w:keepLines/>
              <w:spacing w:before="40" w:after="40"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137B6DBB" w14:textId="70AC1B7C"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MoFuSS (Model for Fuelwood Supply and Sustainability) provides a dynamic, spatially explicit and temporally sensitive modelling approach to estimating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w:t>
            </w:r>
          </w:p>
          <w:p w14:paraId="5C3079FE" w14:textId="4404E9B7"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Unlike static national averages, MoFuSS integrates:</w:t>
            </w:r>
          </w:p>
          <w:p w14:paraId="414D844F" w14:textId="5366E3C5" w:rsidR="5C309DA7" w:rsidRDefault="5C309DA7" w:rsidP="5C309DA7">
            <w:pPr>
              <w:pStyle w:val="ListParagraph"/>
              <w:keepLines/>
              <w:numPr>
                <w:ilvl w:val="0"/>
                <w:numId w:val="1"/>
              </w:numPr>
              <w:spacing w:before="40" w:after="40" w:line="190" w:lineRule="exact"/>
              <w:jc w:val="left"/>
              <w:rPr>
                <w:rFonts w:eastAsia="Arial"/>
                <w:color w:val="000000" w:themeColor="text1"/>
                <w:sz w:val="16"/>
                <w:szCs w:val="16"/>
              </w:rPr>
            </w:pPr>
            <w:r w:rsidRPr="5C309DA7">
              <w:rPr>
                <w:rFonts w:eastAsia="Arial"/>
                <w:color w:val="000000" w:themeColor="text1"/>
                <w:sz w:val="16"/>
                <w:szCs w:val="16"/>
              </w:rPr>
              <w:t>Land cover changes</w:t>
            </w:r>
          </w:p>
          <w:p w14:paraId="61568977" w14:textId="545B88C4" w:rsidR="5C309DA7" w:rsidRDefault="5C309DA7" w:rsidP="5C309DA7">
            <w:pPr>
              <w:pStyle w:val="ListParagraph"/>
              <w:keepLines/>
              <w:numPr>
                <w:ilvl w:val="0"/>
                <w:numId w:val="1"/>
              </w:numPr>
              <w:spacing w:before="40" w:after="40" w:line="190" w:lineRule="exact"/>
              <w:jc w:val="left"/>
              <w:rPr>
                <w:rFonts w:eastAsia="Arial"/>
                <w:color w:val="000000" w:themeColor="text1"/>
                <w:sz w:val="16"/>
                <w:szCs w:val="16"/>
              </w:rPr>
            </w:pPr>
            <w:r w:rsidRPr="5C309DA7">
              <w:rPr>
                <w:rFonts w:eastAsia="Arial"/>
                <w:color w:val="000000" w:themeColor="text1"/>
                <w:sz w:val="16"/>
                <w:szCs w:val="16"/>
              </w:rPr>
              <w:t>Biomass regeneration</w:t>
            </w:r>
          </w:p>
          <w:p w14:paraId="70602FE2" w14:textId="22CF59BC" w:rsidR="5C309DA7" w:rsidRDefault="5C309DA7" w:rsidP="5C309DA7">
            <w:pPr>
              <w:pStyle w:val="ListParagraph"/>
              <w:keepLines/>
              <w:numPr>
                <w:ilvl w:val="0"/>
                <w:numId w:val="1"/>
              </w:numPr>
              <w:spacing w:before="40" w:after="40" w:line="190" w:lineRule="exact"/>
              <w:jc w:val="left"/>
              <w:rPr>
                <w:rFonts w:eastAsia="Arial"/>
                <w:color w:val="000000" w:themeColor="text1"/>
                <w:sz w:val="16"/>
                <w:szCs w:val="16"/>
              </w:rPr>
            </w:pPr>
            <w:r w:rsidRPr="5C309DA7">
              <w:rPr>
                <w:rFonts w:eastAsia="Arial"/>
                <w:color w:val="000000" w:themeColor="text1"/>
                <w:sz w:val="16"/>
                <w:szCs w:val="16"/>
              </w:rPr>
              <w:t>Demographic pressure</w:t>
            </w:r>
          </w:p>
          <w:p w14:paraId="5B02616F" w14:textId="57C02D4D" w:rsidR="5C309DA7" w:rsidRDefault="5C309DA7" w:rsidP="5C309DA7">
            <w:pPr>
              <w:pStyle w:val="ListParagraph"/>
              <w:keepLines/>
              <w:numPr>
                <w:ilvl w:val="0"/>
                <w:numId w:val="1"/>
              </w:numPr>
              <w:spacing w:before="40" w:after="40" w:line="190" w:lineRule="exact"/>
              <w:jc w:val="left"/>
              <w:rPr>
                <w:rFonts w:eastAsia="Arial"/>
                <w:color w:val="000000" w:themeColor="text1"/>
                <w:sz w:val="16"/>
                <w:szCs w:val="16"/>
              </w:rPr>
            </w:pPr>
            <w:r w:rsidRPr="5C309DA7">
              <w:rPr>
                <w:rFonts w:eastAsia="Arial"/>
                <w:color w:val="000000" w:themeColor="text1"/>
                <w:sz w:val="16"/>
                <w:szCs w:val="16"/>
              </w:rPr>
              <w:t>Urban-rural demand gradients</w:t>
            </w:r>
          </w:p>
          <w:p w14:paraId="54AA2768" w14:textId="38374A97" w:rsidR="5C309DA7" w:rsidRDefault="5C309DA7" w:rsidP="5C309DA7">
            <w:pPr>
              <w:pStyle w:val="ListParagraph"/>
              <w:keepLines/>
              <w:numPr>
                <w:ilvl w:val="0"/>
                <w:numId w:val="1"/>
              </w:numPr>
              <w:spacing w:before="40" w:after="40" w:line="190" w:lineRule="exact"/>
              <w:jc w:val="left"/>
              <w:rPr>
                <w:rFonts w:eastAsia="Arial"/>
                <w:color w:val="000000" w:themeColor="text1"/>
                <w:sz w:val="16"/>
                <w:szCs w:val="16"/>
              </w:rPr>
            </w:pPr>
            <w:r w:rsidRPr="5C309DA7">
              <w:rPr>
                <w:rFonts w:eastAsia="Arial"/>
                <w:color w:val="000000" w:themeColor="text1"/>
                <w:sz w:val="16"/>
                <w:szCs w:val="16"/>
              </w:rPr>
              <w:t>Trade dynamics</w:t>
            </w:r>
          </w:p>
          <w:p w14:paraId="52CB7DC9" w14:textId="2CC6B655"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MoFuSS can be run to produce subnational, marginal, and temporally updated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values that respond to actual landscape and energy trends, rather than frozen default snapshots.</w:t>
            </w:r>
          </w:p>
          <w:p w14:paraId="0CC1B3AF" w14:textId="6CDF53BE"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The ICVCM and Gold Standard have already adopted MoFuSS-derived values as the basis for future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default generation. Aligning Tool 33 with this approach promotes inter-standard harmonization, minimizes conflict, and supports cross-use of data.</w:t>
            </w:r>
          </w:p>
        </w:tc>
        <w:tc>
          <w:tcPr>
            <w:tcW w:w="4253" w:type="dxa"/>
            <w:tcBorders>
              <w:top w:val="single" w:sz="6" w:space="0" w:color="auto"/>
              <w:left w:val="single" w:sz="6" w:space="0" w:color="auto"/>
              <w:bottom w:val="single" w:sz="6" w:space="0" w:color="auto"/>
              <w:right w:val="single" w:sz="6" w:space="0" w:color="auto"/>
            </w:tcBorders>
          </w:tcPr>
          <w:p w14:paraId="4A37EA21" w14:textId="38142EBA"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In recognition of the evolving research into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include a provision allowing project developers to propose MoFuSS-derived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values, provided they are transparently documented and validated through, in line with the evolving practices and using robust reference data</w:t>
            </w:r>
          </w:p>
          <w:p w14:paraId="2B6E7548" w14:textId="59C4AF2E" w:rsidR="5C309DA7" w:rsidRDefault="5C309DA7" w:rsidP="5C309DA7">
            <w:pPr>
              <w:keepLines/>
              <w:spacing w:before="40" w:after="40" w:line="190" w:lineRule="exact"/>
              <w:jc w:val="left"/>
              <w:rPr>
                <w:rFonts w:eastAsia="Arial"/>
                <w:color w:val="000000" w:themeColor="text1"/>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863150" w:rsidRDefault="00863150">
            <w:pPr>
              <w:keepLines/>
              <w:spacing w:before="40" w:after="40" w:line="190" w:lineRule="exact"/>
              <w:jc w:val="center"/>
              <w:rPr>
                <w:b/>
                <w:bCs/>
                <w:sz w:val="16"/>
                <w:szCs w:val="16"/>
              </w:rPr>
            </w:pPr>
          </w:p>
        </w:tc>
      </w:tr>
      <w:tr w:rsidR="00863150" w14:paraId="48714BC3" w14:textId="77777777" w:rsidTr="5C309DA7">
        <w:trPr>
          <w:cantSplit/>
          <w:jc w:val="center"/>
        </w:trPr>
        <w:tc>
          <w:tcPr>
            <w:tcW w:w="360" w:type="dxa"/>
            <w:tcBorders>
              <w:top w:val="single" w:sz="6" w:space="0" w:color="auto"/>
              <w:left w:val="single" w:sz="6" w:space="0" w:color="auto"/>
              <w:bottom w:val="single" w:sz="6" w:space="0" w:color="auto"/>
              <w:right w:val="single" w:sz="6" w:space="0" w:color="auto"/>
            </w:tcBorders>
          </w:tcPr>
          <w:p w14:paraId="47FA5F29" w14:textId="18ECD073"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13</w:t>
            </w:r>
          </w:p>
        </w:tc>
        <w:tc>
          <w:tcPr>
            <w:tcW w:w="1388" w:type="dxa"/>
            <w:tcBorders>
              <w:top w:val="single" w:sz="6" w:space="0" w:color="auto"/>
              <w:left w:val="single" w:sz="6" w:space="0" w:color="auto"/>
              <w:bottom w:val="single" w:sz="6" w:space="0" w:color="auto"/>
              <w:right w:val="single" w:sz="6" w:space="0" w:color="auto"/>
            </w:tcBorders>
          </w:tcPr>
          <w:p w14:paraId="65ADBED5" w14:textId="5D3E556F"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Table 3</w:t>
            </w:r>
          </w:p>
        </w:tc>
        <w:tc>
          <w:tcPr>
            <w:tcW w:w="1022" w:type="dxa"/>
            <w:tcBorders>
              <w:top w:val="single" w:sz="6" w:space="0" w:color="auto"/>
              <w:left w:val="single" w:sz="6" w:space="0" w:color="auto"/>
              <w:bottom w:val="single" w:sz="6" w:space="0" w:color="auto"/>
              <w:right w:val="single" w:sz="6" w:space="0" w:color="auto"/>
            </w:tcBorders>
          </w:tcPr>
          <w:p w14:paraId="1BB089D7" w14:textId="6C226B35" w:rsidR="5C309DA7" w:rsidRPr="007B3CF2" w:rsidRDefault="5C309DA7" w:rsidP="5C309DA7">
            <w:pPr>
              <w:keepLines/>
              <w:spacing w:before="40" w:after="40" w:line="190" w:lineRule="exact"/>
              <w:jc w:val="center"/>
              <w:rPr>
                <w:rFonts w:eastAsia="Arial"/>
                <w:color w:val="000000" w:themeColor="text1"/>
                <w:sz w:val="16"/>
                <w:szCs w:val="16"/>
              </w:rPr>
            </w:pPr>
            <w:r w:rsidRPr="007B3CF2">
              <w:rPr>
                <w:rFonts w:eastAsia="Arial"/>
                <w:color w:val="000000" w:themeColor="text1"/>
                <w:sz w:val="16"/>
                <w:szCs w:val="16"/>
              </w:rPr>
              <w:t>18</w:t>
            </w:r>
          </w:p>
        </w:tc>
        <w:tc>
          <w:tcPr>
            <w:tcW w:w="992" w:type="dxa"/>
            <w:tcBorders>
              <w:top w:val="single" w:sz="6" w:space="0" w:color="auto"/>
              <w:left w:val="single" w:sz="6" w:space="0" w:color="auto"/>
              <w:bottom w:val="single" w:sz="6" w:space="0" w:color="auto"/>
              <w:right w:val="single" w:sz="6" w:space="0" w:color="auto"/>
            </w:tcBorders>
          </w:tcPr>
          <w:p w14:paraId="06C36A7D" w14:textId="7672A6A6" w:rsidR="5C309DA7" w:rsidRPr="007B3CF2" w:rsidRDefault="5C309DA7" w:rsidP="5C309DA7">
            <w:pPr>
              <w:keepLines/>
              <w:spacing w:before="40" w:after="40"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0CDA0DA" w14:textId="23711806"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Without disaggregated urban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defaults, urban projects face undercalculation of their true avoided emissions, making them economically non-viable despite their real climate benefit.</w:t>
            </w:r>
          </w:p>
        </w:tc>
        <w:tc>
          <w:tcPr>
            <w:tcW w:w="4253" w:type="dxa"/>
            <w:tcBorders>
              <w:top w:val="single" w:sz="6" w:space="0" w:color="auto"/>
              <w:left w:val="single" w:sz="6" w:space="0" w:color="auto"/>
              <w:bottom w:val="single" w:sz="6" w:space="0" w:color="auto"/>
              <w:right w:val="single" w:sz="6" w:space="0" w:color="auto"/>
            </w:tcBorders>
          </w:tcPr>
          <w:p w14:paraId="765F5937" w14:textId="7B5EFBD9" w:rsidR="5C309DA7" w:rsidRDefault="5C309DA7" w:rsidP="5C309DA7">
            <w:pPr>
              <w:keepLines/>
              <w:spacing w:before="40" w:after="40" w:line="190" w:lineRule="exact"/>
              <w:jc w:val="left"/>
              <w:rPr>
                <w:rFonts w:eastAsia="Arial"/>
                <w:color w:val="000000" w:themeColor="text1"/>
                <w:sz w:val="16"/>
                <w:szCs w:val="16"/>
              </w:rPr>
            </w:pPr>
            <w:r w:rsidRPr="5C309DA7">
              <w:rPr>
                <w:rFonts w:eastAsia="Arial"/>
                <w:color w:val="000000" w:themeColor="text1"/>
                <w:sz w:val="16"/>
                <w:szCs w:val="16"/>
              </w:rPr>
              <w:t xml:space="preserve">Integrate or allow the use of urban-specific </w:t>
            </w:r>
            <w:proofErr w:type="spellStart"/>
            <w:r w:rsidRPr="5C309DA7">
              <w:rPr>
                <w:rFonts w:eastAsia="Arial"/>
                <w:color w:val="000000" w:themeColor="text1"/>
                <w:sz w:val="16"/>
                <w:szCs w:val="16"/>
              </w:rPr>
              <w:t>fNRB</w:t>
            </w:r>
            <w:proofErr w:type="spellEnd"/>
            <w:r w:rsidRPr="5C309DA7">
              <w:rPr>
                <w:rFonts w:eastAsia="Arial"/>
                <w:color w:val="000000" w:themeColor="text1"/>
                <w:sz w:val="16"/>
                <w:szCs w:val="16"/>
              </w:rPr>
              <w:t xml:space="preserve"> default values for densely populated municipalities where charcoal or fuelwood supply chains are documented to originate from non-renewable sources. Alternatively, require projects to demonstrate urban-specific supply dynamics using tools like MoFuSS or official supply chain data.</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34F68B8" w14:textId="77777777" w:rsidR="00863150" w:rsidRDefault="00863150">
            <w:pPr>
              <w:keepLines/>
              <w:spacing w:before="40" w:after="40" w:line="190" w:lineRule="exact"/>
              <w:jc w:val="center"/>
              <w:rPr>
                <w:b/>
                <w:bCs/>
                <w:sz w:val="16"/>
                <w:szCs w:val="16"/>
              </w:rPr>
            </w:pPr>
          </w:p>
        </w:tc>
      </w:tr>
      <w:tr w:rsidR="5C309DA7" w14:paraId="4001D512" w14:textId="77777777" w:rsidTr="5C309DA7">
        <w:trPr>
          <w:cantSplit/>
          <w:trHeight w:val="300"/>
          <w:jc w:val="center"/>
        </w:trPr>
        <w:tc>
          <w:tcPr>
            <w:tcW w:w="360" w:type="dxa"/>
            <w:tcBorders>
              <w:top w:val="single" w:sz="6" w:space="0" w:color="auto"/>
              <w:left w:val="single" w:sz="6" w:space="0" w:color="auto"/>
              <w:bottom w:val="single" w:sz="6" w:space="0" w:color="auto"/>
              <w:right w:val="single" w:sz="6" w:space="0" w:color="auto"/>
            </w:tcBorders>
          </w:tcPr>
          <w:p w14:paraId="7C488A09" w14:textId="513CAFDB" w:rsidR="5C309DA7" w:rsidRDefault="5C309DA7" w:rsidP="5C309DA7">
            <w:pPr>
              <w:spacing w:line="190" w:lineRule="exact"/>
              <w:jc w:val="center"/>
              <w:rPr>
                <w:rFonts w:eastAsia="Arial"/>
                <w:b/>
                <w:bCs/>
                <w:color w:val="000000" w:themeColor="text1"/>
                <w:sz w:val="16"/>
                <w:szCs w:val="16"/>
              </w:rPr>
            </w:pPr>
          </w:p>
        </w:tc>
        <w:tc>
          <w:tcPr>
            <w:tcW w:w="1388" w:type="dxa"/>
            <w:tcBorders>
              <w:top w:val="single" w:sz="6" w:space="0" w:color="auto"/>
              <w:left w:val="single" w:sz="6" w:space="0" w:color="auto"/>
              <w:bottom w:val="single" w:sz="6" w:space="0" w:color="auto"/>
              <w:right w:val="single" w:sz="6" w:space="0" w:color="auto"/>
            </w:tcBorders>
          </w:tcPr>
          <w:p w14:paraId="78844F2F" w14:textId="61FC7551" w:rsidR="5C309DA7" w:rsidRPr="007B3CF2" w:rsidRDefault="007B3CF2" w:rsidP="5C309DA7">
            <w:pPr>
              <w:spacing w:line="190" w:lineRule="exact"/>
              <w:jc w:val="center"/>
              <w:rPr>
                <w:rFonts w:eastAsia="Arial"/>
                <w:color w:val="000000" w:themeColor="text1"/>
                <w:sz w:val="16"/>
                <w:szCs w:val="16"/>
              </w:rPr>
            </w:pPr>
            <w:r w:rsidRPr="007B3CF2">
              <w:rPr>
                <w:rFonts w:eastAsia="Arial"/>
                <w:color w:val="000000" w:themeColor="text1"/>
                <w:sz w:val="16"/>
                <w:szCs w:val="16"/>
              </w:rPr>
              <w:t>Par 14</w:t>
            </w:r>
          </w:p>
        </w:tc>
        <w:tc>
          <w:tcPr>
            <w:tcW w:w="1022" w:type="dxa"/>
            <w:tcBorders>
              <w:top w:val="single" w:sz="6" w:space="0" w:color="auto"/>
              <w:left w:val="single" w:sz="6" w:space="0" w:color="auto"/>
              <w:bottom w:val="single" w:sz="6" w:space="0" w:color="auto"/>
              <w:right w:val="single" w:sz="6" w:space="0" w:color="auto"/>
            </w:tcBorders>
          </w:tcPr>
          <w:p w14:paraId="4EFA5C2A" w14:textId="7F3F50E7" w:rsidR="5C309DA7" w:rsidRPr="007B3CF2" w:rsidRDefault="5C309DA7" w:rsidP="5C309DA7">
            <w:pPr>
              <w:spacing w:line="190" w:lineRule="exact"/>
              <w:jc w:val="center"/>
              <w:rPr>
                <w:rFonts w:eastAsia="Arial"/>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tcPr>
          <w:p w14:paraId="776097B6" w14:textId="4526AA51" w:rsidR="5C309DA7" w:rsidRPr="007B3CF2" w:rsidRDefault="007B3CF2" w:rsidP="5C309DA7">
            <w:pPr>
              <w:spacing w:line="190" w:lineRule="exact"/>
              <w:jc w:val="center"/>
              <w:rPr>
                <w:rFonts w:eastAsia="Arial"/>
                <w:color w:val="000000" w:themeColor="text1"/>
                <w:sz w:val="16"/>
                <w:szCs w:val="16"/>
              </w:rPr>
            </w:pPr>
            <w:proofErr w:type="spellStart"/>
            <w:r w:rsidRPr="007B3CF2">
              <w:rPr>
                <w:rFonts w:eastAsia="Arial"/>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74FBA1FA" w14:textId="77777777" w:rsidR="007B3CF2" w:rsidRPr="007B3CF2" w:rsidRDefault="007B3CF2" w:rsidP="007B3CF2">
            <w:pPr>
              <w:keepLines/>
              <w:spacing w:before="40" w:after="40" w:line="190" w:lineRule="exact"/>
              <w:rPr>
                <w:sz w:val="16"/>
                <w:szCs w:val="16"/>
              </w:rPr>
            </w:pPr>
            <w:r w:rsidRPr="007B3CF2">
              <w:rPr>
                <w:sz w:val="16"/>
                <w:szCs w:val="16"/>
              </w:rPr>
              <w:t>The updated Tool 33 adopts a wood-to-charcoal conversion rate of 4 kg of wood per kg of charcoal, i.e. 4:1 or 25%. Since it seems to be a general default factor, with no mention to specific carbonization practices/technologies, we believe such a value is excessively high as a general reference for the domestic energy use context. Recently available research in SSA</w:t>
            </w:r>
            <w:r w:rsidRPr="007B3CF2">
              <w:rPr>
                <w:rStyle w:val="FootnoteReference"/>
                <w:sz w:val="16"/>
                <w:szCs w:val="16"/>
              </w:rPr>
              <w:footnoteReference w:id="1"/>
            </w:r>
            <w:r w:rsidRPr="007B3CF2">
              <w:rPr>
                <w:sz w:val="16"/>
                <w:szCs w:val="16"/>
              </w:rPr>
              <w:t xml:space="preserve"> conducted by Oregon State University, </w:t>
            </w:r>
            <w:proofErr w:type="spellStart"/>
            <w:r w:rsidRPr="007B3CF2">
              <w:rPr>
                <w:sz w:val="16"/>
                <w:szCs w:val="16"/>
              </w:rPr>
              <w:t>Aprovecho</w:t>
            </w:r>
            <w:proofErr w:type="spellEnd"/>
            <w:r w:rsidRPr="007B3CF2">
              <w:rPr>
                <w:sz w:val="16"/>
                <w:szCs w:val="16"/>
              </w:rPr>
              <w:t xml:space="preserve"> Research </w:t>
            </w:r>
            <w:proofErr w:type="spellStart"/>
            <w:r w:rsidRPr="007B3CF2">
              <w:rPr>
                <w:sz w:val="16"/>
                <w:szCs w:val="16"/>
              </w:rPr>
              <w:t>Center</w:t>
            </w:r>
            <w:proofErr w:type="spellEnd"/>
            <w:r w:rsidRPr="007B3CF2">
              <w:rPr>
                <w:sz w:val="16"/>
                <w:szCs w:val="16"/>
              </w:rPr>
              <w:t xml:space="preserve">, </w:t>
            </w:r>
            <w:proofErr w:type="spellStart"/>
            <w:r w:rsidRPr="007B3CF2">
              <w:rPr>
                <w:sz w:val="16"/>
                <w:szCs w:val="16"/>
              </w:rPr>
              <w:t>SunFire</w:t>
            </w:r>
            <w:proofErr w:type="spellEnd"/>
            <w:r w:rsidRPr="007B3CF2">
              <w:rPr>
                <w:sz w:val="16"/>
                <w:szCs w:val="16"/>
              </w:rPr>
              <w:t xml:space="preserve"> Energy in Malawi, and the Council of Scientific Research-Institute for Industrial Research in Ghana, has measured wood to charcoal conversion rates in different kiln runs in Malawi and Ghana. The average rates were 7.3 to 1 in Malawi and 6,9 to 1 in Ghana, which is closer to the previous IPCC based default of 6:1 but quite far from the proposed value under tool 33 (4:1). However, as the system boundary expands to account for all mass lost during harvesting, transportation, and distribution, the research registered increases in the conversion factor, reaching 9.5 kg/kg in Malawi and 10.6 kg/kg in Ghana (10.0 kg/kg overall).</w:t>
            </w:r>
          </w:p>
          <w:p w14:paraId="4EDA7291" w14:textId="4C965C66" w:rsidR="5C309DA7" w:rsidRPr="007B3CF2" w:rsidRDefault="5C309DA7" w:rsidP="5C309DA7">
            <w:pPr>
              <w:spacing w:line="190" w:lineRule="exact"/>
              <w:jc w:val="left"/>
              <w:rPr>
                <w:rFonts w:eastAsia="Arial"/>
                <w:color w:val="000000" w:themeColor="text1"/>
                <w:sz w:val="16"/>
                <w:szCs w:val="16"/>
              </w:rPr>
            </w:pPr>
          </w:p>
        </w:tc>
        <w:tc>
          <w:tcPr>
            <w:tcW w:w="4253" w:type="dxa"/>
            <w:tcBorders>
              <w:top w:val="single" w:sz="6" w:space="0" w:color="auto"/>
              <w:left w:val="single" w:sz="6" w:space="0" w:color="auto"/>
              <w:bottom w:val="single" w:sz="6" w:space="0" w:color="auto"/>
              <w:right w:val="single" w:sz="6" w:space="0" w:color="auto"/>
            </w:tcBorders>
          </w:tcPr>
          <w:p w14:paraId="31F17285" w14:textId="0A3468B0" w:rsidR="5C309DA7" w:rsidRPr="00607F31" w:rsidRDefault="007B3CF2" w:rsidP="00607F31">
            <w:pPr>
              <w:autoSpaceDE w:val="0"/>
              <w:autoSpaceDN w:val="0"/>
              <w:adjustRightInd w:val="0"/>
              <w:rPr>
                <w:sz w:val="16"/>
                <w:szCs w:val="16"/>
              </w:rPr>
            </w:pPr>
            <w:r w:rsidRPr="007B3CF2">
              <w:rPr>
                <w:sz w:val="16"/>
                <w:szCs w:val="16"/>
              </w:rPr>
              <w:t>Change the updated Tool 33 default to 7:1, as per the evidence above, or at least 6:1 (former IPCC based value) while more primary data is made available.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ADED8D6" w14:textId="63CBB204" w:rsidR="5C309DA7" w:rsidRDefault="5C309DA7" w:rsidP="5C309DA7">
            <w:pPr>
              <w:spacing w:line="190" w:lineRule="exact"/>
              <w:jc w:val="center"/>
              <w:rPr>
                <w:b/>
                <w:bCs/>
                <w:sz w:val="16"/>
                <w:szCs w:val="16"/>
              </w:rPr>
            </w:pPr>
          </w:p>
        </w:tc>
      </w:tr>
      <w:tr w:rsidR="007B3CF2" w14:paraId="643DD598" w14:textId="77777777" w:rsidTr="5C309DA7">
        <w:trPr>
          <w:cantSplit/>
          <w:trHeight w:val="300"/>
          <w:jc w:val="center"/>
        </w:trPr>
        <w:tc>
          <w:tcPr>
            <w:tcW w:w="360" w:type="dxa"/>
            <w:tcBorders>
              <w:top w:val="single" w:sz="6" w:space="0" w:color="auto"/>
              <w:left w:val="single" w:sz="6" w:space="0" w:color="auto"/>
              <w:bottom w:val="single" w:sz="6" w:space="0" w:color="auto"/>
              <w:right w:val="single" w:sz="6" w:space="0" w:color="auto"/>
            </w:tcBorders>
          </w:tcPr>
          <w:p w14:paraId="3C22B6C5" w14:textId="77777777" w:rsidR="007B3CF2" w:rsidRDefault="007B3CF2" w:rsidP="5C309DA7">
            <w:pPr>
              <w:spacing w:line="190" w:lineRule="exact"/>
              <w:jc w:val="center"/>
              <w:rPr>
                <w:rFonts w:eastAsia="Arial"/>
                <w:b/>
                <w:bCs/>
                <w:color w:val="000000" w:themeColor="text1"/>
                <w:sz w:val="16"/>
                <w:szCs w:val="16"/>
              </w:rPr>
            </w:pPr>
          </w:p>
        </w:tc>
        <w:tc>
          <w:tcPr>
            <w:tcW w:w="1388" w:type="dxa"/>
            <w:tcBorders>
              <w:top w:val="single" w:sz="6" w:space="0" w:color="auto"/>
              <w:left w:val="single" w:sz="6" w:space="0" w:color="auto"/>
              <w:bottom w:val="single" w:sz="6" w:space="0" w:color="auto"/>
              <w:right w:val="single" w:sz="6" w:space="0" w:color="auto"/>
            </w:tcBorders>
          </w:tcPr>
          <w:p w14:paraId="1ACA66DB" w14:textId="0A64D478" w:rsidR="007B3CF2" w:rsidRDefault="007B3CF2" w:rsidP="5C309DA7">
            <w:pPr>
              <w:spacing w:line="190" w:lineRule="exact"/>
              <w:jc w:val="center"/>
              <w:rPr>
                <w:rFonts w:eastAsia="Arial"/>
                <w:b/>
                <w:bCs/>
                <w:color w:val="000000" w:themeColor="text1"/>
                <w:sz w:val="16"/>
                <w:szCs w:val="16"/>
              </w:rPr>
            </w:pPr>
            <w:r>
              <w:rPr>
                <w:rFonts w:eastAsia="Arial"/>
                <w:b/>
                <w:bCs/>
                <w:color w:val="000000" w:themeColor="text1"/>
                <w:sz w:val="16"/>
                <w:szCs w:val="16"/>
              </w:rPr>
              <w:t>Par 15</w:t>
            </w:r>
          </w:p>
        </w:tc>
        <w:tc>
          <w:tcPr>
            <w:tcW w:w="1022" w:type="dxa"/>
            <w:tcBorders>
              <w:top w:val="single" w:sz="6" w:space="0" w:color="auto"/>
              <w:left w:val="single" w:sz="6" w:space="0" w:color="auto"/>
              <w:bottom w:val="single" w:sz="6" w:space="0" w:color="auto"/>
              <w:right w:val="single" w:sz="6" w:space="0" w:color="auto"/>
            </w:tcBorders>
          </w:tcPr>
          <w:p w14:paraId="61D8A2D8" w14:textId="77777777" w:rsidR="007B3CF2" w:rsidRDefault="007B3CF2" w:rsidP="5C309DA7">
            <w:pPr>
              <w:spacing w:line="190" w:lineRule="exact"/>
              <w:jc w:val="center"/>
              <w:rPr>
                <w:rFonts w:eastAsia="Arial"/>
                <w:b/>
                <w:bCs/>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tcPr>
          <w:p w14:paraId="4EEC16A7" w14:textId="2E01AC15" w:rsidR="007B3CF2" w:rsidRDefault="007B3CF2" w:rsidP="5C309DA7">
            <w:pPr>
              <w:spacing w:line="190" w:lineRule="exact"/>
              <w:jc w:val="center"/>
              <w:rPr>
                <w:rFonts w:eastAsia="Arial"/>
                <w:b/>
                <w:bCs/>
                <w:color w:val="000000" w:themeColor="text1"/>
                <w:sz w:val="16"/>
                <w:szCs w:val="16"/>
              </w:rPr>
            </w:pPr>
            <w:proofErr w:type="spellStart"/>
            <w:r>
              <w:rPr>
                <w:rFonts w:eastAsia="Arial"/>
                <w:b/>
                <w:bCs/>
                <w:color w:val="000000" w:themeColor="text1"/>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4A367BB1" w14:textId="77777777" w:rsidR="007B3CF2" w:rsidRPr="00607F31" w:rsidRDefault="007B3CF2" w:rsidP="007B3CF2">
            <w:pPr>
              <w:rPr>
                <w:sz w:val="16"/>
                <w:szCs w:val="16"/>
              </w:rPr>
            </w:pPr>
            <w:r w:rsidRPr="00607F31">
              <w:rPr>
                <w:sz w:val="16"/>
                <w:szCs w:val="16"/>
              </w:rPr>
              <w:t>The value of 0.4 is quite far (below) from reality.  The information note, based on which the proposed changes in Tool 33 are being made, mentions that fuelwood and charcoal consumption parameters have been reviewed (paragraph 14d of the Information Note), but it does not specify the numbers adopted by the mode (</w:t>
            </w:r>
            <w:proofErr w:type="spellStart"/>
            <w:r w:rsidRPr="00607F31">
              <w:rPr>
                <w:sz w:val="16"/>
                <w:szCs w:val="16"/>
              </w:rPr>
              <w:t>MoFUSS</w:t>
            </w:r>
            <w:proofErr w:type="spellEnd"/>
            <w:r w:rsidRPr="00607F31">
              <w:rPr>
                <w:sz w:val="16"/>
                <w:szCs w:val="16"/>
              </w:rPr>
              <w:t xml:space="preserve">). In previous versions, such figures were excessively conservative and did not reflect reality. On paragraph 20c, the Note refers to the WHO Global Household Energy Model as a reference </w:t>
            </w:r>
            <w:proofErr w:type="gramStart"/>
            <w:r w:rsidRPr="00607F31">
              <w:rPr>
                <w:sz w:val="16"/>
                <w:szCs w:val="16"/>
              </w:rPr>
              <w:t>for the amount of</w:t>
            </w:r>
            <w:proofErr w:type="gramEnd"/>
            <w:r w:rsidRPr="00607F31">
              <w:rPr>
                <w:sz w:val="16"/>
                <w:szCs w:val="16"/>
              </w:rPr>
              <w:t xml:space="preserve"> people consuming biomass, but it does not mention the adopted consumption factor per person or per HH. Likewise, paragraph 15 of the updated tool 33 mentions a factor of 0.4 tons of biomass/person/year, but there are no references to sources, and it is not clear if the </w:t>
            </w:r>
            <w:proofErr w:type="spellStart"/>
            <w:r w:rsidRPr="00607F31">
              <w:rPr>
                <w:sz w:val="16"/>
                <w:szCs w:val="16"/>
              </w:rPr>
              <w:t>fNRB</w:t>
            </w:r>
            <w:proofErr w:type="spellEnd"/>
            <w:r w:rsidRPr="00607F31">
              <w:rPr>
                <w:sz w:val="16"/>
                <w:szCs w:val="16"/>
              </w:rPr>
              <w:t xml:space="preserve"> default values have been based on this number.</w:t>
            </w:r>
          </w:p>
          <w:p w14:paraId="522DEADF" w14:textId="77777777" w:rsidR="007B3CF2" w:rsidRPr="00607F31" w:rsidRDefault="007B3CF2" w:rsidP="007B3CF2">
            <w:pPr>
              <w:keepLines/>
              <w:spacing w:before="40" w:after="40" w:line="190" w:lineRule="exac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3E559D17" w14:textId="0FEA30AE" w:rsidR="007B3CF2" w:rsidRPr="00607F31" w:rsidRDefault="007B3CF2" w:rsidP="007B3CF2">
            <w:pPr>
              <w:pStyle w:val="ListParagraph"/>
              <w:numPr>
                <w:ilvl w:val="0"/>
                <w:numId w:val="3"/>
              </w:numPr>
              <w:spacing w:after="160" w:line="259" w:lineRule="auto"/>
              <w:ind w:left="630" w:hanging="540"/>
              <w:rPr>
                <w:sz w:val="16"/>
                <w:szCs w:val="16"/>
              </w:rPr>
            </w:pPr>
            <w:r w:rsidRPr="00607F31">
              <w:rPr>
                <w:sz w:val="16"/>
                <w:szCs w:val="16"/>
              </w:rPr>
              <w:t>Change the 0.4 default value</w:t>
            </w:r>
            <w:r w:rsidR="00CD3BBF">
              <w:rPr>
                <w:sz w:val="16"/>
                <w:szCs w:val="16"/>
              </w:rPr>
              <w:t xml:space="preserve"> to</w:t>
            </w:r>
            <w:r w:rsidRPr="00607F31">
              <w:rPr>
                <w:sz w:val="16"/>
                <w:szCs w:val="16"/>
              </w:rPr>
              <w:t xml:space="preserve"> 0.5. Recent KPTs often point out to values between 1 and 2 tons/person/year, which strongly suggests that 0.4 is excessively conservative and not consistent with the minimum cooking needs for survival in urban or rural areas in SSA. </w:t>
            </w:r>
          </w:p>
          <w:p w14:paraId="7578580A" w14:textId="77777777" w:rsidR="007B3CF2" w:rsidRPr="00607F31" w:rsidRDefault="007B3CF2" w:rsidP="007B3CF2">
            <w:pPr>
              <w:pStyle w:val="ListParagraph"/>
              <w:numPr>
                <w:ilvl w:val="0"/>
                <w:numId w:val="3"/>
              </w:numPr>
              <w:spacing w:after="160" w:line="259" w:lineRule="auto"/>
              <w:ind w:left="630" w:hanging="540"/>
              <w:rPr>
                <w:sz w:val="16"/>
                <w:szCs w:val="16"/>
              </w:rPr>
            </w:pPr>
            <w:r w:rsidRPr="00607F31">
              <w:rPr>
                <w:sz w:val="16"/>
                <w:szCs w:val="16"/>
              </w:rPr>
              <w:t xml:space="preserve">Provide transparency, by disclosing the adopted biomass consumption values per capita or per HH that were used for the calculation of the proposed </w:t>
            </w:r>
            <w:proofErr w:type="spellStart"/>
            <w:r w:rsidRPr="00607F31">
              <w:rPr>
                <w:sz w:val="16"/>
                <w:szCs w:val="16"/>
              </w:rPr>
              <w:t>fNRB</w:t>
            </w:r>
            <w:proofErr w:type="spellEnd"/>
            <w:r w:rsidRPr="00607F31">
              <w:rPr>
                <w:sz w:val="16"/>
                <w:szCs w:val="16"/>
              </w:rPr>
              <w:t xml:space="preserve"> default values. This should be done at least at the country level, if data used for sub-national values is not available. </w:t>
            </w:r>
          </w:p>
          <w:p w14:paraId="46983D8F" w14:textId="77777777" w:rsidR="007B3CF2" w:rsidRPr="00607F31" w:rsidRDefault="007B3CF2" w:rsidP="007B3CF2">
            <w:pPr>
              <w:autoSpaceDE w:val="0"/>
              <w:autoSpaceDN w:val="0"/>
              <w:adjustRightInd w:val="0"/>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97E7AE7" w14:textId="77777777" w:rsidR="007B3CF2" w:rsidRDefault="007B3CF2" w:rsidP="5C309DA7">
            <w:pPr>
              <w:spacing w:line="190" w:lineRule="exact"/>
              <w:jc w:val="center"/>
              <w:rPr>
                <w:b/>
                <w:bCs/>
                <w:sz w:val="16"/>
                <w:szCs w:val="16"/>
              </w:rPr>
            </w:pPr>
          </w:p>
        </w:tc>
      </w:tr>
      <w:tr w:rsidR="007B3CF2" w14:paraId="40E19183" w14:textId="77777777" w:rsidTr="5C309DA7">
        <w:trPr>
          <w:cantSplit/>
          <w:trHeight w:val="300"/>
          <w:jc w:val="center"/>
        </w:trPr>
        <w:tc>
          <w:tcPr>
            <w:tcW w:w="360" w:type="dxa"/>
            <w:tcBorders>
              <w:top w:val="single" w:sz="6" w:space="0" w:color="auto"/>
              <w:left w:val="single" w:sz="6" w:space="0" w:color="auto"/>
              <w:bottom w:val="single" w:sz="6" w:space="0" w:color="auto"/>
              <w:right w:val="single" w:sz="6" w:space="0" w:color="auto"/>
            </w:tcBorders>
          </w:tcPr>
          <w:p w14:paraId="416D978D" w14:textId="77777777" w:rsidR="007B3CF2" w:rsidRPr="00607F31" w:rsidRDefault="007B3CF2" w:rsidP="5C309DA7">
            <w:pPr>
              <w:spacing w:line="190" w:lineRule="exact"/>
              <w:jc w:val="center"/>
              <w:rPr>
                <w:rFonts w:eastAsia="Arial"/>
                <w:color w:val="000000" w:themeColor="text1"/>
                <w:sz w:val="16"/>
                <w:szCs w:val="16"/>
              </w:rPr>
            </w:pPr>
          </w:p>
        </w:tc>
        <w:tc>
          <w:tcPr>
            <w:tcW w:w="1388" w:type="dxa"/>
            <w:tcBorders>
              <w:top w:val="single" w:sz="6" w:space="0" w:color="auto"/>
              <w:left w:val="single" w:sz="6" w:space="0" w:color="auto"/>
              <w:bottom w:val="single" w:sz="6" w:space="0" w:color="auto"/>
              <w:right w:val="single" w:sz="6" w:space="0" w:color="auto"/>
            </w:tcBorders>
          </w:tcPr>
          <w:p w14:paraId="245BE1AD" w14:textId="6DF7F607" w:rsidR="007B3CF2" w:rsidRPr="00607F31" w:rsidRDefault="007B3CF2" w:rsidP="5C309DA7">
            <w:pPr>
              <w:spacing w:line="190" w:lineRule="exact"/>
              <w:jc w:val="center"/>
              <w:rPr>
                <w:rFonts w:eastAsia="Arial"/>
                <w:color w:val="000000" w:themeColor="text1"/>
                <w:sz w:val="16"/>
                <w:szCs w:val="16"/>
              </w:rPr>
            </w:pPr>
          </w:p>
        </w:tc>
        <w:tc>
          <w:tcPr>
            <w:tcW w:w="1022" w:type="dxa"/>
            <w:tcBorders>
              <w:top w:val="single" w:sz="6" w:space="0" w:color="auto"/>
              <w:left w:val="single" w:sz="6" w:space="0" w:color="auto"/>
              <w:bottom w:val="single" w:sz="6" w:space="0" w:color="auto"/>
              <w:right w:val="single" w:sz="6" w:space="0" w:color="auto"/>
            </w:tcBorders>
          </w:tcPr>
          <w:p w14:paraId="73ED8170" w14:textId="2DAD5739" w:rsidR="007B3CF2" w:rsidRPr="00607F31" w:rsidRDefault="007B3CF2" w:rsidP="5C309DA7">
            <w:pPr>
              <w:spacing w:line="190" w:lineRule="exact"/>
              <w:jc w:val="center"/>
              <w:rPr>
                <w:rFonts w:eastAsia="Arial"/>
                <w:color w:val="000000" w:themeColor="text1"/>
                <w:sz w:val="16"/>
                <w:szCs w:val="16"/>
              </w:rPr>
            </w:pPr>
          </w:p>
        </w:tc>
        <w:tc>
          <w:tcPr>
            <w:tcW w:w="992" w:type="dxa"/>
            <w:tcBorders>
              <w:top w:val="single" w:sz="6" w:space="0" w:color="auto"/>
              <w:left w:val="single" w:sz="6" w:space="0" w:color="auto"/>
              <w:bottom w:val="single" w:sz="6" w:space="0" w:color="auto"/>
              <w:right w:val="single" w:sz="6" w:space="0" w:color="auto"/>
            </w:tcBorders>
          </w:tcPr>
          <w:p w14:paraId="798B8C7C" w14:textId="6004A7FC" w:rsidR="007B3CF2" w:rsidRPr="00607F31" w:rsidRDefault="007B3CF2" w:rsidP="5C309DA7">
            <w:pPr>
              <w:spacing w:line="190" w:lineRule="exact"/>
              <w:jc w:val="center"/>
              <w:rPr>
                <w:rFonts w:eastAsia="Arial"/>
                <w:color w:val="000000" w:themeColor="text1"/>
                <w:sz w:val="16"/>
                <w:szCs w:val="16"/>
              </w:rPr>
            </w:pPr>
          </w:p>
        </w:tc>
        <w:tc>
          <w:tcPr>
            <w:tcW w:w="4762" w:type="dxa"/>
            <w:tcBorders>
              <w:top w:val="single" w:sz="6" w:space="0" w:color="auto"/>
              <w:left w:val="single" w:sz="6" w:space="0" w:color="auto"/>
              <w:bottom w:val="single" w:sz="6" w:space="0" w:color="auto"/>
              <w:right w:val="single" w:sz="6" w:space="0" w:color="auto"/>
            </w:tcBorders>
          </w:tcPr>
          <w:p w14:paraId="79997957" w14:textId="46EF28FF" w:rsidR="007B3CF2" w:rsidRPr="00137A10" w:rsidRDefault="007B3CF2" w:rsidP="00607F31">
            <w:pPr>
              <w:autoSpaceDE w:val="0"/>
              <w:autoSpaceDN w:val="0"/>
              <w:adjustRightInd w:val="0"/>
              <w:rPr>
                <w:rFonts w:asciiTheme="majorHAnsi" w:hAnsiTheme="majorHAnsi" w:cstheme="majorHAnsi"/>
                <w:sz w:val="20"/>
                <w:szCs w:val="20"/>
              </w:rPr>
            </w:pPr>
          </w:p>
        </w:tc>
        <w:tc>
          <w:tcPr>
            <w:tcW w:w="4253" w:type="dxa"/>
            <w:tcBorders>
              <w:top w:val="single" w:sz="6" w:space="0" w:color="auto"/>
              <w:left w:val="single" w:sz="6" w:space="0" w:color="auto"/>
              <w:bottom w:val="single" w:sz="6" w:space="0" w:color="auto"/>
              <w:right w:val="single" w:sz="6" w:space="0" w:color="auto"/>
            </w:tcBorders>
          </w:tcPr>
          <w:p w14:paraId="0FD0E808" w14:textId="4FD8B045" w:rsidR="007B3CF2" w:rsidRPr="00607F31" w:rsidRDefault="007B3CF2" w:rsidP="00607F31">
            <w:pPr>
              <w:spacing w:after="160" w:line="259" w:lineRule="auto"/>
              <w:rPr>
                <w:rFonts w:asciiTheme="majorHAnsi" w:hAnsiTheme="majorHAnsi" w:cstheme="majorHAnsi"/>
                <w:sz w:val="20"/>
                <w:szCs w:val="20"/>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C624442" w14:textId="77777777" w:rsidR="007B3CF2" w:rsidRDefault="007B3CF2" w:rsidP="5C309DA7">
            <w:pPr>
              <w:spacing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1"/>
      <w:footerReference w:type="even" r:id="rId12"/>
      <w:footerReference w:type="default" r:id="rId13"/>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A490" w14:textId="77777777" w:rsidR="00FC39AE" w:rsidRDefault="00FC39AE" w:rsidP="00DF4F6B">
      <w:r>
        <w:separator/>
      </w:r>
    </w:p>
  </w:endnote>
  <w:endnote w:type="continuationSeparator" w:id="0">
    <w:p w14:paraId="7914B9C4" w14:textId="77777777" w:rsidR="00FC39AE" w:rsidRDefault="00FC39AE" w:rsidP="00D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DB83" w14:textId="77777777" w:rsidR="00FC39AE" w:rsidRDefault="00FC39AE" w:rsidP="00DF4F6B">
      <w:r>
        <w:separator/>
      </w:r>
    </w:p>
  </w:footnote>
  <w:footnote w:type="continuationSeparator" w:id="0">
    <w:p w14:paraId="0F10AB2F" w14:textId="77777777" w:rsidR="00FC39AE" w:rsidRDefault="00FC39AE" w:rsidP="00DF4F6B">
      <w:r>
        <w:continuationSeparator/>
      </w:r>
    </w:p>
  </w:footnote>
  <w:footnote w:id="1">
    <w:p w14:paraId="7481E14A" w14:textId="77777777" w:rsidR="007B3CF2" w:rsidRPr="007349FD" w:rsidRDefault="007B3CF2" w:rsidP="007B3CF2">
      <w:pPr>
        <w:autoSpaceDE w:val="0"/>
        <w:autoSpaceDN w:val="0"/>
        <w:adjustRightInd w:val="0"/>
        <w:rPr>
          <w:sz w:val="16"/>
          <w:szCs w:val="16"/>
        </w:rPr>
      </w:pPr>
      <w:r w:rsidRPr="006D649C">
        <w:rPr>
          <w:rStyle w:val="FootnoteReference"/>
        </w:rPr>
        <w:footnoteRef/>
      </w:r>
      <w:r w:rsidRPr="006D649C">
        <w:t xml:space="preserve"> </w:t>
      </w:r>
      <w:r w:rsidRPr="006D649C">
        <w:rPr>
          <w:sz w:val="16"/>
          <w:szCs w:val="16"/>
        </w:rPr>
        <w:t xml:space="preserve">Urben, Jessie et al, (2025). </w:t>
      </w:r>
      <w:r w:rsidRPr="006D649C">
        <w:rPr>
          <w:i/>
          <w:iCs/>
          <w:sz w:val="16"/>
          <w:szCs w:val="16"/>
        </w:rPr>
        <w:t>Quantifying conversion factors for the supply chain of charcoal production in Malawi and Ghana</w:t>
      </w:r>
      <w:r w:rsidRPr="006D649C">
        <w:rPr>
          <w:sz w:val="16"/>
          <w:szCs w:val="16"/>
        </w:rPr>
        <w:t>. Forthcoming. Jan 8, 2025.</w:t>
      </w:r>
    </w:p>
    <w:p w14:paraId="35ACBC42" w14:textId="77777777" w:rsidR="007B3CF2" w:rsidRPr="009C7A8A" w:rsidRDefault="007B3CF2" w:rsidP="007B3CF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7D2D"/>
    <w:multiLevelType w:val="hybridMultilevel"/>
    <w:tmpl w:val="4A980E2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F0032C4"/>
    <w:multiLevelType w:val="hybridMultilevel"/>
    <w:tmpl w:val="4A980E2E"/>
    <w:lvl w:ilvl="0" w:tplc="3B50F1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89585C1"/>
    <w:multiLevelType w:val="multilevel"/>
    <w:tmpl w:val="8B5E2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1317956981">
    <w:abstractNumId w:val="2"/>
  </w:num>
  <w:num w:numId="2" w16cid:durableId="301229697">
    <w:abstractNumId w:val="3"/>
  </w:num>
  <w:num w:numId="3" w16cid:durableId="1421636756">
    <w:abstractNumId w:val="1"/>
  </w:num>
  <w:num w:numId="4" w16cid:durableId="22067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33898"/>
    <w:rsid w:val="00044598"/>
    <w:rsid w:val="001D0F91"/>
    <w:rsid w:val="001E00C6"/>
    <w:rsid w:val="001E3876"/>
    <w:rsid w:val="002849A7"/>
    <w:rsid w:val="002D1847"/>
    <w:rsid w:val="002E7D70"/>
    <w:rsid w:val="002F135C"/>
    <w:rsid w:val="003173FB"/>
    <w:rsid w:val="003457B0"/>
    <w:rsid w:val="00366FD7"/>
    <w:rsid w:val="00405FB3"/>
    <w:rsid w:val="004248BD"/>
    <w:rsid w:val="00450EEA"/>
    <w:rsid w:val="00471CD2"/>
    <w:rsid w:val="00472C3C"/>
    <w:rsid w:val="004B5B70"/>
    <w:rsid w:val="005242C9"/>
    <w:rsid w:val="00556802"/>
    <w:rsid w:val="005A256D"/>
    <w:rsid w:val="005B1074"/>
    <w:rsid w:val="005D6F5F"/>
    <w:rsid w:val="00607F31"/>
    <w:rsid w:val="00657453"/>
    <w:rsid w:val="006A4C13"/>
    <w:rsid w:val="006B7520"/>
    <w:rsid w:val="006D0849"/>
    <w:rsid w:val="006F32C1"/>
    <w:rsid w:val="00777AC5"/>
    <w:rsid w:val="00797328"/>
    <w:rsid w:val="007B3CF2"/>
    <w:rsid w:val="007D6248"/>
    <w:rsid w:val="00841D26"/>
    <w:rsid w:val="00863150"/>
    <w:rsid w:val="009177A1"/>
    <w:rsid w:val="00981D31"/>
    <w:rsid w:val="009D0F11"/>
    <w:rsid w:val="009E2FBD"/>
    <w:rsid w:val="009F61CD"/>
    <w:rsid w:val="00A13B92"/>
    <w:rsid w:val="00AB7D06"/>
    <w:rsid w:val="00B3792D"/>
    <w:rsid w:val="00B62659"/>
    <w:rsid w:val="00C33E85"/>
    <w:rsid w:val="00C408D1"/>
    <w:rsid w:val="00C630BD"/>
    <w:rsid w:val="00CC0EB7"/>
    <w:rsid w:val="00CD3BBF"/>
    <w:rsid w:val="00D131BD"/>
    <w:rsid w:val="00D36C4F"/>
    <w:rsid w:val="00D6268F"/>
    <w:rsid w:val="00D67DE8"/>
    <w:rsid w:val="00D9721E"/>
    <w:rsid w:val="00DB3162"/>
    <w:rsid w:val="00DF4E03"/>
    <w:rsid w:val="00DF4F6B"/>
    <w:rsid w:val="00E4309D"/>
    <w:rsid w:val="00E60C4A"/>
    <w:rsid w:val="00E732CD"/>
    <w:rsid w:val="00EE5FD1"/>
    <w:rsid w:val="00F27817"/>
    <w:rsid w:val="00F33F22"/>
    <w:rsid w:val="00F37030"/>
    <w:rsid w:val="00F65050"/>
    <w:rsid w:val="00FB6CA2"/>
    <w:rsid w:val="00FC39AE"/>
    <w:rsid w:val="424017B8"/>
    <w:rsid w:val="5C309D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link w:val="FootnoteTextChar"/>
    <w:uiPriority w:val="99"/>
    <w:semiHidden/>
    <w:rPr>
      <w:sz w:val="20"/>
      <w:szCs w:val="20"/>
    </w:rPr>
  </w:style>
  <w:style w:type="character" w:styleId="FootnoteReference">
    <w:name w:val="footnote reference"/>
    <w:basedOn w:val="DefaultParagraphFont"/>
    <w:uiPriority w:val="99"/>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2"/>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2"/>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2"/>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2"/>
      </w:numPr>
      <w:spacing w:before="180"/>
      <w:jc w:val="center"/>
    </w:pPr>
    <w:rPr>
      <w:rFonts w:ascii="Times New Roman Bold" w:hAnsi="Times New Roman Bold" w:cs="Times New Roman Bold"/>
      <w:b/>
    </w:rPr>
  </w:style>
  <w:style w:type="character" w:styleId="Hyperlink">
    <w:name w:val="Hyperlink"/>
    <w:basedOn w:val="DefaultParagraphFont"/>
    <w:uiPriority w:val="99"/>
    <w:unhideWhenUsed/>
    <w:rsid w:val="5C309DA7"/>
    <w:rPr>
      <w:color w:val="0563C1"/>
      <w:u w:val="single"/>
    </w:rPr>
  </w:style>
  <w:style w:type="paragraph" w:styleId="ListParagraph">
    <w:name w:val="List Paragraph"/>
    <w:aliases w:val="Ha,Medium Grid 1 - Accent 21"/>
    <w:basedOn w:val="Normal"/>
    <w:link w:val="ListParagraphChar"/>
    <w:uiPriority w:val="34"/>
    <w:qFormat/>
    <w:rsid w:val="5C309DA7"/>
    <w:pPr>
      <w:ind w:left="720"/>
      <w:contextualSpacing/>
    </w:pPr>
  </w:style>
  <w:style w:type="character" w:customStyle="1" w:styleId="FootnoteTextChar">
    <w:name w:val="Footnote Text Char"/>
    <w:basedOn w:val="DefaultParagraphFont"/>
    <w:link w:val="FootnoteText"/>
    <w:uiPriority w:val="99"/>
    <w:semiHidden/>
    <w:rsid w:val="007B3CF2"/>
    <w:rPr>
      <w:rFonts w:ascii="Arial" w:hAnsi="Arial" w:cs="Arial"/>
      <w:lang w:val="en-GB" w:eastAsia="en-US"/>
    </w:rPr>
  </w:style>
  <w:style w:type="character" w:customStyle="1" w:styleId="ListParagraphChar">
    <w:name w:val="List Paragraph Char"/>
    <w:aliases w:val="Ha Char,Medium Grid 1 - Accent 21 Char"/>
    <w:basedOn w:val="DefaultParagraphFont"/>
    <w:link w:val="ListParagraph"/>
    <w:uiPriority w:val="34"/>
    <w:rsid w:val="007B3CF2"/>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cs.google.com/spreadsheets/d/1dHAHMSruYombgBoitCm5PCNsZvQP6It8/edit?usp=drive_link&amp;ouid=113750626920219758095&amp;rtpof=true&amp;sd=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0F8A24BDA156408750DD73BBCB35FD" ma:contentTypeVersion="18" ma:contentTypeDescription="Create a new document." ma:contentTypeScope="" ma:versionID="9aab3a933b248b584517b5313a63cfdd">
  <xsd:schema xmlns:xsd="http://www.w3.org/2001/XMLSchema" xmlns:xs="http://www.w3.org/2001/XMLSchema" xmlns:p="http://schemas.microsoft.com/office/2006/metadata/properties" xmlns:ns2="269cd23b-b011-4b0e-8b15-579f85438ccf" xmlns:ns3="4cf0473a-18b3-4c49-a73d-d56e1aebdd8d" targetNamespace="http://schemas.microsoft.com/office/2006/metadata/properties" ma:root="true" ma:fieldsID="9e345c4f8f0f72353c26895068ac1ce9" ns2:_="" ns3:_="">
    <xsd:import namespace="269cd23b-b011-4b0e-8b15-579f85438ccf"/>
    <xsd:import namespace="4cf0473a-18b3-4c49-a73d-d56e1aebdd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cd23b-b011-4b0e-8b15-579f8543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7db257-020d-4dec-b2d7-25c3c37c6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f0473a-18b3-4c49-a73d-d56e1aebdd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059fba-4ea3-4158-bc46-18c3ea93b9a8}" ma:internalName="TaxCatchAll" ma:showField="CatchAllData" ma:web="4cf0473a-18b3-4c49-a73d-d56e1aebd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f0473a-18b3-4c49-a73d-d56e1aebdd8d" xsi:nil="true"/>
    <lcf76f155ced4ddcb4097134ff3c332f xmlns="269cd23b-b011-4b0e-8b15-579f85438c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1D5484-5D11-47DC-9B8C-68F918FF4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cd23b-b011-4b0e-8b15-579f85438ccf"/>
    <ds:schemaRef ds:uri="4cf0473a-18b3-4c49-a73d-d56e1aebd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3.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4cf0473a-18b3-4c49-a73d-d56e1aebdd8d"/>
    <ds:schemaRef ds:uri="269cd23b-b011-4b0e-8b15-579f85438cc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1723</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11527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UNFCCC</dc:creator>
  <cp:keywords/>
  <dc:description>FORM (ISO)</dc:description>
  <cp:lastModifiedBy>Edwin Cogho</cp:lastModifiedBy>
  <cp:revision>10</cp:revision>
  <cp:lastPrinted>2001-10-25T12:04:00Z</cp:lastPrinted>
  <dcterms:created xsi:type="dcterms:W3CDTF">2024-06-21T15:42:00Z</dcterms:created>
  <dcterms:modified xsi:type="dcterms:W3CDTF">2025-05-22T08:53:00Z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0x010100B00F8A24BDA156408750DD73BBCB35FD</vt:lpwstr>
  </property>
</Properties>
</file>