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4AFD" w14:textId="77777777" w:rsidR="005B1074" w:rsidRDefault="00777AC5" w:rsidP="005B1074">
      <w:pPr>
        <w:pStyle w:val="StyleRegHead111pt"/>
        <w:numPr>
          <w:ilvl w:val="0"/>
          <w:numId w:val="0"/>
        </w:numPr>
      </w:pPr>
      <w:r>
        <w:t>TABLE</w:t>
      </w:r>
      <w:r w:rsidR="005B1074">
        <w:t xml:space="preserve"> FOR COMMENTS</w:t>
      </w:r>
    </w:p>
    <w:p w14:paraId="509F9590" w14:textId="1C4FF10A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Name of submitter: </w:t>
      </w:r>
      <w:r w:rsidR="00CD3BBF">
        <w:t>Edwin Cogho</w:t>
      </w:r>
    </w:p>
    <w:p w14:paraId="1539A45C" w14:textId="1B412379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>Affiliated organization of the submitter</w:t>
      </w:r>
      <w:r w:rsidR="006D0849">
        <w:t xml:space="preserve"> (if any)</w:t>
      </w:r>
      <w:r>
        <w:t>:</w:t>
      </w:r>
      <w:r w:rsidR="00CD3BBF">
        <w:t xml:space="preserve"> </w:t>
      </w:r>
      <w:r w:rsidR="00D94107">
        <w:t>TASC</w:t>
      </w:r>
    </w:p>
    <w:p w14:paraId="5F63183D" w14:textId="6DB9B17F" w:rsidR="00E60C4A" w:rsidRPr="007F243D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Contact email of submitter: </w:t>
      </w:r>
      <w:r w:rsidR="00CD3BBF">
        <w:t>edwin</w:t>
      </w:r>
      <w:r w:rsidR="00D94107">
        <w:t>@tasc.je</w:t>
      </w:r>
    </w:p>
    <w:p w14:paraId="77A5CC8D" w14:textId="77777777" w:rsidR="005B1074" w:rsidRPr="00035035" w:rsidRDefault="005B1074" w:rsidP="005B1074"/>
    <w:p w14:paraId="2EA528BF" w14:textId="77777777" w:rsidR="00DF4F6B" w:rsidRDefault="00DF4F6B">
      <w:pPr>
        <w:spacing w:line="240" w:lineRule="exact"/>
      </w:pPr>
    </w:p>
    <w:tbl>
      <w:tblPr>
        <w:tblW w:w="15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8"/>
        <w:gridCol w:w="1022"/>
        <w:gridCol w:w="992"/>
        <w:gridCol w:w="4762"/>
        <w:gridCol w:w="4253"/>
        <w:gridCol w:w="2552"/>
      </w:tblGrid>
      <w:tr w:rsidR="00863150" w14:paraId="44974AB3" w14:textId="77777777" w:rsidTr="5C309DA7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F40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82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88A7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E0C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941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02A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212BB9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63150" w14:paraId="48486F42" w14:textId="77777777" w:rsidTr="5C309DA7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197D7B" w14:textId="77777777" w:rsidR="00863150" w:rsidRPr="007B3CF2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7B3CF2">
              <w:rPr>
                <w:b/>
                <w:bCs/>
                <w:sz w:val="16"/>
                <w:szCs w:val="16"/>
              </w:rPr>
              <w:t>#</w:t>
            </w:r>
          </w:p>
          <w:p w14:paraId="1BEFCA54" w14:textId="77777777" w:rsidR="00863150" w:rsidRPr="007B3CF2" w:rsidRDefault="00863150" w:rsidP="005242C9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31A8B1" w14:textId="77777777" w:rsidR="00863150" w:rsidRPr="007B3CF2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7B3CF2">
              <w:rPr>
                <w:b/>
                <w:bCs/>
                <w:sz w:val="16"/>
                <w:szCs w:val="16"/>
              </w:rPr>
              <w:t>Para No./</w:t>
            </w:r>
            <w:r w:rsidRPr="007B3CF2">
              <w:rPr>
                <w:b/>
                <w:bCs/>
                <w:sz w:val="16"/>
                <w:szCs w:val="16"/>
              </w:rPr>
              <w:br/>
              <w:t>Annex / Figure / Table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2186A2" w14:textId="77777777" w:rsidR="00863150" w:rsidRPr="007B3CF2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7B3CF2">
              <w:rPr>
                <w:b/>
                <w:bCs/>
                <w:sz w:val="16"/>
                <w:szCs w:val="16"/>
              </w:rPr>
              <w:t>Line Number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36EA1D" w14:textId="77777777" w:rsidR="00863150" w:rsidRPr="007B3CF2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7B3CF2">
              <w:rPr>
                <w:b/>
                <w:bCs/>
                <w:sz w:val="16"/>
                <w:szCs w:val="16"/>
              </w:rPr>
              <w:t>Type of comment</w:t>
            </w:r>
          </w:p>
          <w:p w14:paraId="7BC03EA3" w14:textId="77777777" w:rsidR="00863150" w:rsidRPr="007B3CF2" w:rsidRDefault="00863150">
            <w:pPr>
              <w:keepLines/>
              <w:spacing w:before="40" w:after="40" w:line="190" w:lineRule="exact"/>
              <w:jc w:val="center"/>
              <w:rPr>
                <w:rStyle w:val="PageNumber"/>
                <w:b/>
                <w:bCs/>
                <w:sz w:val="16"/>
                <w:szCs w:val="16"/>
              </w:rPr>
            </w:pPr>
            <w:proofErr w:type="spellStart"/>
            <w:r w:rsidRPr="007B3CF2">
              <w:rPr>
                <w:rStyle w:val="PageNumber"/>
                <w:b/>
                <w:bCs/>
                <w:sz w:val="16"/>
                <w:szCs w:val="16"/>
              </w:rPr>
              <w:t>ge</w:t>
            </w:r>
            <w:proofErr w:type="spellEnd"/>
            <w:r w:rsidRPr="007B3CF2">
              <w:rPr>
                <w:rStyle w:val="PageNumber"/>
                <w:b/>
                <w:bCs/>
                <w:sz w:val="16"/>
                <w:szCs w:val="16"/>
              </w:rPr>
              <w:t xml:space="preserve"> = general</w:t>
            </w:r>
          </w:p>
          <w:p w14:paraId="192FE6D5" w14:textId="77777777" w:rsidR="00863150" w:rsidRPr="007B3CF2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B3CF2">
              <w:rPr>
                <w:rStyle w:val="PageNumber"/>
                <w:b/>
                <w:bCs/>
                <w:sz w:val="16"/>
                <w:szCs w:val="16"/>
              </w:rPr>
              <w:t>te</w:t>
            </w:r>
            <w:proofErr w:type="spellEnd"/>
            <w:r w:rsidRPr="007B3CF2">
              <w:rPr>
                <w:rStyle w:val="PageNumber"/>
                <w:b/>
                <w:bCs/>
                <w:sz w:val="16"/>
                <w:szCs w:val="16"/>
              </w:rPr>
              <w:t xml:space="preserve"> = technical </w:t>
            </w:r>
            <w:r w:rsidRPr="007B3CF2">
              <w:rPr>
                <w:rStyle w:val="PageNumber"/>
                <w:b/>
                <w:bCs/>
                <w:sz w:val="16"/>
                <w:szCs w:val="16"/>
              </w:rPr>
              <w:tab/>
              <w:t xml:space="preserve">ed = editorial 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73758" w14:textId="77777777" w:rsidR="00863150" w:rsidRPr="007B3CF2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7B3CF2">
              <w:rPr>
                <w:b/>
                <w:bCs/>
                <w:sz w:val="16"/>
                <w:szCs w:val="16"/>
              </w:rPr>
              <w:t xml:space="preserve">Comment </w:t>
            </w:r>
          </w:p>
          <w:p w14:paraId="58D30D20" w14:textId="77777777" w:rsidR="00863150" w:rsidRPr="007B3CF2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7B3CF2">
              <w:rPr>
                <w:b/>
                <w:bCs/>
                <w:sz w:val="16"/>
                <w:szCs w:val="16"/>
              </w:rPr>
              <w:t>(including justification for change)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AB5C84" w14:textId="77777777" w:rsidR="00863150" w:rsidRPr="007B3CF2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7B3CF2">
              <w:rPr>
                <w:b/>
                <w:bCs/>
                <w:sz w:val="16"/>
                <w:szCs w:val="16"/>
              </w:rPr>
              <w:t xml:space="preserve">Proposed change </w:t>
            </w:r>
          </w:p>
          <w:p w14:paraId="50091044" w14:textId="77777777" w:rsidR="00863150" w:rsidRPr="007B3CF2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7B3CF2">
              <w:rPr>
                <w:b/>
                <w:bCs/>
                <w:sz w:val="16"/>
                <w:szCs w:val="16"/>
              </w:rPr>
              <w:t>(including proposed text)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6C1D22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of comment</w:t>
            </w:r>
          </w:p>
          <w:p w14:paraId="54A7E6A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A256D">
              <w:rPr>
                <w:b/>
                <w:bCs/>
                <w:i/>
                <w:sz w:val="16"/>
                <w:szCs w:val="16"/>
              </w:rPr>
              <w:t xml:space="preserve">to be completed by </w:t>
            </w:r>
            <w:r>
              <w:rPr>
                <w:b/>
                <w:bCs/>
                <w:i/>
                <w:sz w:val="16"/>
                <w:szCs w:val="16"/>
              </w:rPr>
              <w:t>UNFCCC secretariat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63150" w14:paraId="1DABCE09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019C" w14:textId="53AF428A" w:rsidR="00863150" w:rsidRPr="007B3CF2" w:rsidRDefault="002D1847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7B3CF2">
              <w:rPr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6DD9" w14:textId="4A9EB283" w:rsidR="00863150" w:rsidRPr="007B3CF2" w:rsidRDefault="002D1847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7B3CF2">
              <w:rPr>
                <w:sz w:val="16"/>
                <w:szCs w:val="16"/>
              </w:rPr>
              <w:t>16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62B" w14:textId="453322A8" w:rsidR="00863150" w:rsidRPr="007B3CF2" w:rsidRDefault="002D1847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7B3CF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E85" w14:textId="1083D84A" w:rsidR="00863150" w:rsidRPr="007B3CF2" w:rsidRDefault="002D1847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proofErr w:type="spellStart"/>
            <w:r w:rsidRPr="007B3CF2"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586B" w14:textId="532DDA58" w:rsidR="00863150" w:rsidRPr="007B3CF2" w:rsidRDefault="002D1847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7B3CF2">
              <w:rPr>
                <w:sz w:val="16"/>
                <w:szCs w:val="16"/>
              </w:rPr>
              <w:t xml:space="preserve">“Stakeholders may also propose new methodological approaches for calculation of </w:t>
            </w:r>
            <w:proofErr w:type="spellStart"/>
            <w:r w:rsidRPr="007B3CF2">
              <w:rPr>
                <w:sz w:val="16"/>
                <w:szCs w:val="16"/>
              </w:rPr>
              <w:t>fNRB</w:t>
            </w:r>
            <w:proofErr w:type="spellEnd"/>
            <w:r w:rsidRPr="007B3CF2">
              <w:rPr>
                <w:sz w:val="16"/>
                <w:szCs w:val="16"/>
              </w:rPr>
              <w:t xml:space="preserve"> resulting in further advancement in terms of accuracy and conservativeness…”. The use of “conservativeness” is problematic here. Conservativeness should not be a consideration, the values should be accurate, thus accuracy should be at the forefront and not be conservative as values can be accurate, but not conservative and vice versa.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F47C" w14:textId="380BF5F5" w:rsidR="00863150" w:rsidRPr="007B3CF2" w:rsidRDefault="002D1847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7B3CF2">
              <w:rPr>
                <w:sz w:val="16"/>
                <w:szCs w:val="16"/>
              </w:rPr>
              <w:t xml:space="preserve">Remove “conservativeness” from the text. Suggested text: “Stakeholders may also propose new methodological approaches for calculation of </w:t>
            </w:r>
            <w:proofErr w:type="spellStart"/>
            <w:r w:rsidRPr="007B3CF2">
              <w:rPr>
                <w:sz w:val="16"/>
                <w:szCs w:val="16"/>
              </w:rPr>
              <w:t>fNRB</w:t>
            </w:r>
            <w:proofErr w:type="spellEnd"/>
            <w:r w:rsidRPr="007B3CF2">
              <w:rPr>
                <w:sz w:val="16"/>
                <w:szCs w:val="16"/>
              </w:rPr>
              <w:t xml:space="preserve"> resulting in further advancement in terms of accuracy, for consideration the CDM EB.”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981D6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6DD2EEDD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9B28" w14:textId="18AA61DD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7B3CF2">
              <w:rPr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1F48" w14:textId="5B7923BD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7B3CF2">
              <w:rPr>
                <w:sz w:val="16"/>
                <w:szCs w:val="16"/>
              </w:rPr>
              <w:t>16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C726" w14:textId="515CFC4D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7B3CF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ED46" w14:textId="7747EC5D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proofErr w:type="spellStart"/>
            <w:r w:rsidRPr="007B3CF2"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6E05" w14:textId="784FF0B6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7B3CF2">
              <w:rPr>
                <w:sz w:val="16"/>
                <w:szCs w:val="16"/>
              </w:rPr>
              <w:t xml:space="preserve">“Stakeholders may also propose new methodological approaches for calculation of </w:t>
            </w:r>
            <w:proofErr w:type="spellStart"/>
            <w:r w:rsidRPr="007B3CF2">
              <w:rPr>
                <w:sz w:val="16"/>
                <w:szCs w:val="16"/>
              </w:rPr>
              <w:t>fNRB</w:t>
            </w:r>
            <w:proofErr w:type="spellEnd"/>
            <w:r w:rsidRPr="007B3CF2">
              <w:rPr>
                <w:sz w:val="16"/>
                <w:szCs w:val="16"/>
              </w:rPr>
              <w:t xml:space="preserve"> resulting in further advancement in terms of accuracy and conservativeness…”</w:t>
            </w:r>
            <w:r w:rsidR="00906A20">
              <w:rPr>
                <w:sz w:val="16"/>
                <w:szCs w:val="16"/>
              </w:rPr>
              <w:t xml:space="preserve"> There is not much language around how the potential new approaches </w:t>
            </w:r>
            <w:r w:rsidR="00B65688">
              <w:rPr>
                <w:sz w:val="16"/>
                <w:szCs w:val="16"/>
              </w:rPr>
              <w:t xml:space="preserve">can look. Does it have to be fully validated / peer reviewed </w:t>
            </w:r>
            <w:proofErr w:type="gramStart"/>
            <w:r w:rsidR="00B65688">
              <w:rPr>
                <w:sz w:val="16"/>
                <w:szCs w:val="16"/>
              </w:rPr>
              <w:t>models</w:t>
            </w:r>
            <w:proofErr w:type="gramEnd"/>
            <w:r w:rsidR="00B65688">
              <w:rPr>
                <w:sz w:val="16"/>
                <w:szCs w:val="16"/>
              </w:rPr>
              <w:t xml:space="preserve"> or can it be idea note which the MP will then investigate further.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9C9F" w14:textId="13EEFA05" w:rsidR="005448C6" w:rsidRPr="007B3CF2" w:rsidRDefault="00B65688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More clarity is required on how the </w:t>
            </w:r>
            <w:r w:rsidR="00C21336">
              <w:rPr>
                <w:sz w:val="16"/>
                <w:szCs w:val="16"/>
              </w:rPr>
              <w:t>potential new methods can look or how they will be considered by the MP.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F4A3B54" w14:textId="77777777" w:rsidR="005448C6" w:rsidRDefault="005448C6" w:rsidP="00544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7BCB2812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E0CC" w14:textId="10110E19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E6B" w14:textId="07826A78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607F31">
              <w:rPr>
                <w:rFonts w:eastAsia="Arial"/>
                <w:color w:val="000000" w:themeColor="text1"/>
                <w:sz w:val="16"/>
                <w:szCs w:val="16"/>
              </w:rPr>
              <w:t xml:space="preserve">Table 3.3 </w:t>
            </w:r>
            <w:proofErr w:type="spellStart"/>
            <w:r w:rsidRPr="00607F31"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 w:rsidRPr="00607F31">
              <w:rPr>
                <w:rFonts w:eastAsia="Arial"/>
                <w:color w:val="000000" w:themeColor="text1"/>
                <w:sz w:val="16"/>
                <w:szCs w:val="16"/>
              </w:rPr>
              <w:t xml:space="preserve"> Values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6AF" w14:textId="48DBB9EF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607F31">
              <w:rPr>
                <w:rFonts w:eastAsia="Arial"/>
                <w:color w:val="000000" w:themeColor="text1"/>
                <w:sz w:val="16"/>
                <w:szCs w:val="16"/>
              </w:rPr>
              <w:t>Table 3.3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BC10" w14:textId="2629A574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proofErr w:type="spellStart"/>
            <w:r w:rsidRPr="00607F31">
              <w:rPr>
                <w:rFonts w:eastAsia="Arial"/>
                <w:color w:val="000000" w:themeColor="text1"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660A" w14:textId="7BB680A5" w:rsidR="005448C6" w:rsidRPr="00607F31" w:rsidRDefault="0032135E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5448C6" w:rsidRPr="00607F31">
              <w:rPr>
                <w:sz w:val="16"/>
                <w:szCs w:val="16"/>
              </w:rPr>
              <w:t>he sub-national default values have been removed, without explanation. We suggest allowing the use of such subnational values until further data/research provides updated numbers. If the reason for removing them was lack of confidence in the existing values, we propose to at least create a work stream in the MP to properly develop such figures, as they will greatly increase accuracy and bring values closer to the reality of project-based activities</w:t>
            </w:r>
            <w:r w:rsidR="00FC2AA2">
              <w:rPr>
                <w:sz w:val="16"/>
                <w:szCs w:val="16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5844" w14:textId="3DD6186B" w:rsidR="005448C6" w:rsidRPr="00363583" w:rsidRDefault="008742E2" w:rsidP="00363583">
            <w:pPr>
              <w:spacing w:after="160" w:line="259" w:lineRule="auto"/>
              <w:rPr>
                <w:sz w:val="16"/>
                <w:szCs w:val="16"/>
              </w:rPr>
            </w:pPr>
            <w:r w:rsidRPr="00363583">
              <w:rPr>
                <w:sz w:val="16"/>
                <w:szCs w:val="16"/>
              </w:rPr>
              <w:t xml:space="preserve">Either allow </w:t>
            </w:r>
            <w:r w:rsidR="005448C6" w:rsidRPr="00363583">
              <w:rPr>
                <w:sz w:val="16"/>
                <w:szCs w:val="16"/>
              </w:rPr>
              <w:t xml:space="preserve">the </w:t>
            </w:r>
            <w:r w:rsidRPr="00363583">
              <w:rPr>
                <w:sz w:val="16"/>
                <w:szCs w:val="16"/>
              </w:rPr>
              <w:t xml:space="preserve">continued </w:t>
            </w:r>
            <w:r w:rsidR="005448C6" w:rsidRPr="00363583">
              <w:rPr>
                <w:sz w:val="16"/>
                <w:szCs w:val="16"/>
              </w:rPr>
              <w:t xml:space="preserve">use of subnational values until reliable </w:t>
            </w:r>
            <w:r w:rsidRPr="00363583">
              <w:rPr>
                <w:sz w:val="16"/>
                <w:szCs w:val="16"/>
              </w:rPr>
              <w:t>data becomes available—particularly</w:t>
            </w:r>
            <w:r w:rsidR="005448C6" w:rsidRPr="00363583">
              <w:rPr>
                <w:sz w:val="16"/>
                <w:szCs w:val="16"/>
              </w:rPr>
              <w:t xml:space="preserve"> at the local</w:t>
            </w:r>
            <w:r w:rsidRPr="00363583">
              <w:rPr>
                <w:sz w:val="16"/>
                <w:szCs w:val="16"/>
              </w:rPr>
              <w:t xml:space="preserve"> or </w:t>
            </w:r>
            <w:r w:rsidR="005448C6" w:rsidRPr="00363583">
              <w:rPr>
                <w:sz w:val="16"/>
                <w:szCs w:val="16"/>
              </w:rPr>
              <w:t>regional level</w:t>
            </w:r>
            <w:r w:rsidRPr="00363583">
              <w:rPr>
                <w:sz w:val="16"/>
                <w:szCs w:val="16"/>
              </w:rPr>
              <w:t>—or require the MP to establish</w:t>
            </w:r>
            <w:r w:rsidR="005448C6" w:rsidRPr="00363583">
              <w:rPr>
                <w:sz w:val="16"/>
                <w:szCs w:val="16"/>
              </w:rPr>
              <w:t xml:space="preserve"> a </w:t>
            </w:r>
            <w:r w:rsidRPr="00363583">
              <w:rPr>
                <w:sz w:val="16"/>
                <w:szCs w:val="16"/>
              </w:rPr>
              <w:t xml:space="preserve">dedicated </w:t>
            </w:r>
            <w:r w:rsidR="005448C6" w:rsidRPr="00363583">
              <w:rPr>
                <w:sz w:val="16"/>
                <w:szCs w:val="16"/>
              </w:rPr>
              <w:t xml:space="preserve">workstream </w:t>
            </w:r>
            <w:r w:rsidRPr="00363583">
              <w:rPr>
                <w:sz w:val="16"/>
                <w:szCs w:val="16"/>
              </w:rPr>
              <w:t xml:space="preserve">to </w:t>
            </w:r>
            <w:r w:rsidR="005448C6" w:rsidRPr="00363583">
              <w:rPr>
                <w:sz w:val="16"/>
                <w:szCs w:val="16"/>
              </w:rPr>
              <w:t xml:space="preserve">develop </w:t>
            </w:r>
            <w:r w:rsidRPr="00363583">
              <w:rPr>
                <w:sz w:val="16"/>
                <w:szCs w:val="16"/>
              </w:rPr>
              <w:t>these</w:t>
            </w:r>
            <w:r w:rsidR="005448C6" w:rsidRPr="00363583">
              <w:rPr>
                <w:sz w:val="16"/>
                <w:szCs w:val="16"/>
              </w:rPr>
              <w:t xml:space="preserve"> subnational values</w:t>
            </w:r>
            <w:r w:rsidRPr="00363583">
              <w:rPr>
                <w:sz w:val="16"/>
                <w:szCs w:val="16"/>
              </w:rPr>
              <w:t>. This process should include a transparent explanation for their removal to ensure</w:t>
            </w:r>
            <w:r w:rsidR="005448C6" w:rsidRPr="00363583">
              <w:rPr>
                <w:sz w:val="16"/>
                <w:szCs w:val="16"/>
              </w:rPr>
              <w:t xml:space="preserve"> that </w:t>
            </w:r>
            <w:r w:rsidRPr="00363583">
              <w:rPr>
                <w:sz w:val="16"/>
                <w:szCs w:val="16"/>
              </w:rPr>
              <w:t xml:space="preserve">any </w:t>
            </w:r>
            <w:r w:rsidR="005448C6" w:rsidRPr="00363583">
              <w:rPr>
                <w:sz w:val="16"/>
                <w:szCs w:val="16"/>
              </w:rPr>
              <w:t xml:space="preserve">concerns </w:t>
            </w:r>
            <w:r w:rsidRPr="00363583">
              <w:rPr>
                <w:sz w:val="16"/>
                <w:szCs w:val="16"/>
              </w:rPr>
              <w:t>are adequately</w:t>
            </w:r>
            <w:r w:rsidR="005448C6" w:rsidRPr="00363583">
              <w:rPr>
                <w:sz w:val="16"/>
                <w:szCs w:val="16"/>
              </w:rPr>
              <w:t xml:space="preserve"> addressed </w:t>
            </w:r>
            <w:r w:rsidRPr="00363583">
              <w:rPr>
                <w:sz w:val="16"/>
                <w:szCs w:val="16"/>
              </w:rPr>
              <w:t>through</w:t>
            </w:r>
            <w:r w:rsidR="005448C6" w:rsidRPr="00363583">
              <w:rPr>
                <w:sz w:val="16"/>
                <w:szCs w:val="16"/>
              </w:rPr>
              <w:t xml:space="preserve"> the additional work.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56D8E3" w14:textId="77777777" w:rsidR="005448C6" w:rsidRDefault="005448C6" w:rsidP="00544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1DD2AA5D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2FCE" w14:textId="6157719C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BB31" w14:textId="6E8AE3F0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19F8" w14:textId="66192AC6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30C3" w14:textId="22A97CC8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172" w14:textId="22AC8520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7B3CF2">
              <w:rPr>
                <w:sz w:val="16"/>
                <w:szCs w:val="16"/>
              </w:rPr>
              <w:t>During the last public consultation period, numerous comments were raised in relation to the MoFuSS model. It is not clear in the updated Tool 33 whether these concerns / comments were addressed in the current version of Tool 33.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FCA0" w14:textId="03BAFEFA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 a tracking table or change log on how the MoFuSS model was amended post last public consultation.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97AA4" w14:textId="77777777" w:rsidR="005448C6" w:rsidRDefault="005448C6" w:rsidP="00544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5C9827B7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3047" w14:textId="1F330ED3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C815" w14:textId="0C94F8D1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5.4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9F17" w14:textId="1C0CF138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3D5E" w14:textId="04C16BC9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proofErr w:type="spellStart"/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75D9" w14:textId="06390142" w:rsidR="005448C6" w:rsidRDefault="005448C6" w:rsidP="005448C6">
            <w:pPr>
              <w:keepLines/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>KPT data submitted by developers shows much higher fuelwood consumption than the assumed 0.4 t/person/year in MoFuSS. Ignoring this leads to underestimation of emissions.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16A" w14:textId="1CDE7141" w:rsidR="005448C6" w:rsidRDefault="005448C6" w:rsidP="005448C6">
            <w:pPr>
              <w:keepLines/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>Incorporate KPT data submitted by the PD Forum and other country-specific surveys as default or adjust the default to reflect this wider dataset (e.g., SSA: 0.71 t/person/year).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6B7C9B" w14:textId="77777777" w:rsidR="005448C6" w:rsidRDefault="005448C6" w:rsidP="00544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27BA32EE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C45E" w14:textId="5DF5B249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34B" w14:textId="340C17EB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5.5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03CE" w14:textId="1206124A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6A00" w14:textId="1CE4A471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proofErr w:type="spellStart"/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3760" w14:textId="486EB6CB" w:rsidR="005448C6" w:rsidRDefault="005448C6" w:rsidP="005448C6">
            <w:pPr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>MoFuSS values rely on outdated datasets (&gt;10 years old), yet the model is presented as generating national defaults. This undermines credibility unless local data inputs are integrated.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CD0" w14:textId="7667BB21" w:rsidR="005448C6" w:rsidRDefault="005448C6" w:rsidP="005448C6">
            <w:pPr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Update Tool33 values based on a re-run of the </w:t>
            </w:r>
            <w:proofErr w:type="spellStart"/>
            <w:r>
              <w:rPr>
                <w:rFonts w:eastAsia="Arial"/>
                <w:color w:val="000000" w:themeColor="text1"/>
                <w:sz w:val="16"/>
                <w:szCs w:val="16"/>
              </w:rPr>
              <w:t>MoFUSS</w:t>
            </w:r>
            <w:proofErr w:type="spellEnd"/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 model with the most up to date datasets.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2CB9906" w14:textId="77777777" w:rsidR="005448C6" w:rsidRDefault="005448C6" w:rsidP="00544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3B9D658A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2472" w14:textId="628EE30D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6BC2" w14:textId="7D35738A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5.5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7A6E" w14:textId="25A08F66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D7E5" w14:textId="1F1A669D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proofErr w:type="spellStart"/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B3E1" w14:textId="644BDEB8" w:rsidR="005448C6" w:rsidRDefault="005448C6" w:rsidP="005448C6">
            <w:pPr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The current definition of </w:t>
            </w:r>
            <w:proofErr w:type="spellStart"/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 focuses on total harvest, not marginal reductions. This departs from the approach in AMS-</w:t>
            </w:r>
            <w:proofErr w:type="gramStart"/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>II.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>G</w:t>
            </w:r>
            <w:proofErr w:type="gramEnd"/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>, risking misalignment with efficiency methodologies.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C14B" w14:textId="47E3EE2C" w:rsidR="005448C6" w:rsidRDefault="00434B73" w:rsidP="005448C6">
            <w:pPr>
              <w:keepLines/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Request the MP to set up a budget and work plan to investigate the possibility of a marginal </w:t>
            </w:r>
            <w:proofErr w:type="spellStart"/>
            <w:r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 approach.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EEC236" w14:textId="77777777" w:rsidR="005448C6" w:rsidRDefault="005448C6" w:rsidP="00544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40B8270E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A1A4" w14:textId="190A3A67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829" w14:textId="59D67441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5.5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3E3B" w14:textId="73F367A3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AB9C" w14:textId="62EA57AE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proofErr w:type="spellStart"/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95D1" w14:textId="67686D14" w:rsidR="005448C6" w:rsidRDefault="005448C6" w:rsidP="005448C6">
            <w:pPr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TOOL 33 currently reflects average </w:t>
            </w:r>
            <w:proofErr w:type="spellStart"/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 across total national/regional harvest. However, carbon projects reduce biomass usage at the margin—they displace the most recent, incremental harvesting that would otherwise occur.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87A3" w14:textId="734319ED" w:rsidR="005448C6" w:rsidRDefault="005448C6" w:rsidP="005448C6">
            <w:pPr>
              <w:keepLines/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Allow for use of marginal </w:t>
            </w:r>
            <w:proofErr w:type="spellStart"/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 values, justified using credible models (e.g., MoFuSS), to reflect the emissions avoided by project activities more accurately.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FACBC15" w14:textId="77777777" w:rsidR="005448C6" w:rsidRDefault="005448C6" w:rsidP="00544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62E5AA74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3F65" w14:textId="37036CBD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BF0" w14:textId="589C742B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5.5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9053" w14:textId="654CEA3A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D526" w14:textId="4CC9893B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proofErr w:type="spellStart"/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C025" w14:textId="7C596D77" w:rsidR="005448C6" w:rsidRDefault="005448C6" w:rsidP="005448C6">
            <w:pPr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MoFuSS excludes biomass from land clearance </w:t>
            </w:r>
            <w:r w:rsidR="00EF7842">
              <w:rPr>
                <w:rFonts w:eastAsia="Arial"/>
                <w:color w:val="000000" w:themeColor="text1"/>
                <w:sz w:val="16"/>
                <w:szCs w:val="16"/>
              </w:rPr>
              <w:t>and any other non-sustainable extraction of wood from forests.</w:t>
            </w:r>
            <w:r w:rsidR="001B3D07">
              <w:rPr>
                <w:rFonts w:eastAsia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B3D07"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 w:rsidR="001B3D07">
              <w:rPr>
                <w:rFonts w:eastAsia="Arial"/>
                <w:color w:val="000000" w:themeColor="text1"/>
                <w:sz w:val="16"/>
                <w:szCs w:val="16"/>
              </w:rPr>
              <w:t xml:space="preserve"> is the proportion of biomass harvested </w:t>
            </w:r>
            <w:proofErr w:type="gramStart"/>
            <w:r w:rsidR="001B3D07">
              <w:rPr>
                <w:rFonts w:eastAsia="Arial"/>
                <w:color w:val="000000" w:themeColor="text1"/>
                <w:sz w:val="16"/>
                <w:szCs w:val="16"/>
              </w:rPr>
              <w:t>in a given</w:t>
            </w:r>
            <w:proofErr w:type="gramEnd"/>
            <w:r w:rsidR="001B3D07">
              <w:rPr>
                <w:rFonts w:eastAsia="Arial"/>
                <w:color w:val="000000" w:themeColor="text1"/>
                <w:sz w:val="16"/>
                <w:szCs w:val="16"/>
              </w:rPr>
              <w:t xml:space="preserve"> area that exceeds the </w:t>
            </w:r>
            <w:r w:rsidR="007C0949">
              <w:rPr>
                <w:rFonts w:eastAsia="Arial"/>
                <w:color w:val="000000" w:themeColor="text1"/>
                <w:sz w:val="16"/>
                <w:szCs w:val="16"/>
              </w:rPr>
              <w:t xml:space="preserve">natural rate of regeneration. Surely when determining the </w:t>
            </w:r>
            <w:proofErr w:type="spellStart"/>
            <w:r w:rsidR="007C0949"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 w:rsidR="007C0949">
              <w:rPr>
                <w:rFonts w:eastAsia="Arial"/>
                <w:color w:val="000000" w:themeColor="text1"/>
                <w:sz w:val="16"/>
                <w:szCs w:val="16"/>
              </w:rPr>
              <w:t xml:space="preserve">, all drivers of deforestation and forest degradation should be </w:t>
            </w:r>
            <w:proofErr w:type="gramStart"/>
            <w:r w:rsidR="007C0949">
              <w:rPr>
                <w:rFonts w:eastAsia="Arial"/>
                <w:color w:val="000000" w:themeColor="text1"/>
                <w:sz w:val="16"/>
                <w:szCs w:val="16"/>
              </w:rPr>
              <w:t>taken into account</w:t>
            </w:r>
            <w:proofErr w:type="gramEnd"/>
            <w:r w:rsidR="007C0949">
              <w:rPr>
                <w:rFonts w:eastAsia="Arial"/>
                <w:color w:val="000000" w:themeColor="text1"/>
                <w:sz w:val="16"/>
                <w:szCs w:val="16"/>
              </w:rPr>
              <w:t xml:space="preserve"> and not just fuelwood harvesting as it is a combination of the drivers which </w:t>
            </w:r>
            <w:r w:rsidR="00223CBE">
              <w:rPr>
                <w:rFonts w:eastAsia="Arial"/>
                <w:color w:val="000000" w:themeColor="text1"/>
                <w:sz w:val="16"/>
                <w:szCs w:val="16"/>
              </w:rPr>
              <w:t xml:space="preserve">contributes to the deterioration of the forests.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3186" w14:textId="02DC58AC" w:rsidR="005448C6" w:rsidRDefault="00223CBE" w:rsidP="005448C6">
            <w:pPr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Include all </w:t>
            </w:r>
            <w:r w:rsidR="00E90E5C">
              <w:rPr>
                <w:rFonts w:eastAsia="Arial"/>
                <w:color w:val="000000" w:themeColor="text1"/>
                <w:sz w:val="16"/>
                <w:szCs w:val="16"/>
              </w:rPr>
              <w:t>wood / biomass harvesting except for that form sustainable forests and woodlots.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7F16D" w14:textId="77777777" w:rsidR="005448C6" w:rsidRDefault="005448C6" w:rsidP="00544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335D5762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9CDF" w14:textId="3B67FC65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DDAA" w14:textId="7D89A0CE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5.5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AFCB" w14:textId="5A7A3013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F7AA" w14:textId="3AB9D1F4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proofErr w:type="spellStart"/>
            <w:r w:rsidRPr="007B3CF2">
              <w:rPr>
                <w:rFonts w:eastAsia="Arial"/>
                <w:color w:val="000000" w:themeColor="text1"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7DC9" w14:textId="67E5D233" w:rsidR="005448C6" w:rsidRDefault="005448C6" w:rsidP="005448C6">
            <w:pPr>
              <w:keepLines/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MoFuSS can be run to produce </w:t>
            </w:r>
            <w:proofErr w:type="spellStart"/>
            <w:r w:rsidR="00715D55"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 w:rsidR="00715D55">
              <w:rPr>
                <w:rFonts w:eastAsia="Arial"/>
                <w:color w:val="000000" w:themeColor="text1"/>
                <w:sz w:val="16"/>
                <w:szCs w:val="16"/>
              </w:rPr>
              <w:t xml:space="preserve"> values at a more granular and specific scale.</w:t>
            </w:r>
          </w:p>
          <w:p w14:paraId="0CC1B3AF" w14:textId="71028460" w:rsidR="005448C6" w:rsidRDefault="00E90E5C" w:rsidP="005448C6">
            <w:pPr>
              <w:keepLines/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>Other initiatives</w:t>
            </w:r>
            <w:r w:rsidR="005448C6"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 and 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>standards</w:t>
            </w:r>
            <w:r w:rsidR="005448C6"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 have already adopted 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>the use of</w:t>
            </w:r>
            <w:r w:rsidR="005448C6"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 MoFuSS-derived values as the basis for future </w:t>
            </w:r>
            <w:proofErr w:type="spellStart"/>
            <w:r w:rsidR="005448C6" w:rsidRPr="5C309DA7"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 w:rsidR="005448C6"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 default generation. Aligning Tool 33 with this approach promotes 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>standardization across standards</w:t>
            </w:r>
            <w:r w:rsidR="005448C6" w:rsidRPr="5C309DA7">
              <w:rPr>
                <w:rFonts w:eastAsia="Arial"/>
                <w:color w:val="000000" w:themeColor="text1"/>
                <w:sz w:val="16"/>
                <w:szCs w:val="16"/>
              </w:rPr>
              <w:t xml:space="preserve"> and 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>minimises risk of public scrutiny</w:t>
            </w:r>
            <w:r w:rsidR="005448C6" w:rsidRPr="5C309DA7">
              <w:rPr>
                <w:rFonts w:eastAsia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EA21" w14:textId="45C76B01" w:rsidR="005448C6" w:rsidRDefault="00E90E5C" w:rsidP="005448C6">
            <w:pPr>
              <w:keepLines/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>I</w:t>
            </w:r>
            <w:r w:rsidR="0040566D">
              <w:rPr>
                <w:rFonts w:eastAsia="Arial"/>
                <w:color w:val="000000" w:themeColor="text1"/>
                <w:sz w:val="16"/>
                <w:szCs w:val="16"/>
              </w:rPr>
              <w:t xml:space="preserve">nclude the recommendation to use </w:t>
            </w:r>
            <w:proofErr w:type="spellStart"/>
            <w:r w:rsidR="0040566D">
              <w:rPr>
                <w:rFonts w:eastAsia="Arial"/>
                <w:color w:val="000000" w:themeColor="text1"/>
                <w:sz w:val="16"/>
                <w:szCs w:val="16"/>
              </w:rPr>
              <w:t>MoFUSS</w:t>
            </w:r>
            <w:proofErr w:type="spellEnd"/>
            <w:r w:rsidR="0040566D">
              <w:rPr>
                <w:rFonts w:eastAsia="Arial"/>
                <w:color w:val="000000" w:themeColor="text1"/>
                <w:sz w:val="16"/>
                <w:szCs w:val="16"/>
              </w:rPr>
              <w:t xml:space="preserve"> derived </w:t>
            </w:r>
            <w:proofErr w:type="spellStart"/>
            <w:r w:rsidR="0040566D"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 w:rsidR="0040566D">
              <w:rPr>
                <w:rFonts w:eastAsia="Arial"/>
                <w:color w:val="000000" w:themeColor="text1"/>
                <w:sz w:val="16"/>
                <w:szCs w:val="16"/>
              </w:rPr>
              <w:t xml:space="preserve"> values as an option to calculate </w:t>
            </w:r>
            <w:proofErr w:type="spellStart"/>
            <w:r w:rsidR="0040566D">
              <w:rPr>
                <w:rFonts w:eastAsia="Arial"/>
                <w:color w:val="000000" w:themeColor="text1"/>
                <w:sz w:val="16"/>
                <w:szCs w:val="16"/>
              </w:rPr>
              <w:t>fNRB</w:t>
            </w:r>
            <w:proofErr w:type="spellEnd"/>
            <w:r w:rsidR="0040566D">
              <w:rPr>
                <w:rFonts w:eastAsia="Arial"/>
                <w:color w:val="000000" w:themeColor="text1"/>
                <w:sz w:val="16"/>
                <w:szCs w:val="16"/>
              </w:rPr>
              <w:t>.</w:t>
            </w:r>
          </w:p>
          <w:p w14:paraId="2B6E7548" w14:textId="59C4AF2E" w:rsidR="005448C6" w:rsidRDefault="005448C6" w:rsidP="005448C6">
            <w:pPr>
              <w:keepLines/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3D150D" w14:textId="77777777" w:rsidR="005448C6" w:rsidRDefault="005448C6" w:rsidP="00544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48714BC3" w14:textId="77777777" w:rsidTr="5C309DA7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5F29" w14:textId="563D87DA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BED5" w14:textId="10D4FEBE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89D7" w14:textId="1F18ADEC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6A7D" w14:textId="12BAB0AE" w:rsidR="005448C6" w:rsidRPr="007B3CF2" w:rsidRDefault="005448C6" w:rsidP="005448C6">
            <w:pPr>
              <w:keepLines/>
              <w:spacing w:before="40" w:after="40"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A0DA" w14:textId="369BD156" w:rsidR="005448C6" w:rsidRDefault="005448C6" w:rsidP="005448C6">
            <w:pPr>
              <w:keepLines/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937" w14:textId="0E60E773" w:rsidR="005448C6" w:rsidRDefault="005448C6" w:rsidP="005448C6">
            <w:pPr>
              <w:keepLines/>
              <w:spacing w:before="40" w:after="40" w:line="190" w:lineRule="exact"/>
              <w:jc w:val="left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34F68B8" w14:textId="77777777" w:rsidR="005448C6" w:rsidRDefault="005448C6" w:rsidP="00544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643DD598" w14:textId="77777777" w:rsidTr="5C309DA7">
        <w:trPr>
          <w:cantSplit/>
          <w:trHeight w:val="30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B6C5" w14:textId="77777777" w:rsidR="005448C6" w:rsidRDefault="005448C6" w:rsidP="005448C6">
            <w:pPr>
              <w:spacing w:line="190" w:lineRule="exact"/>
              <w:jc w:val="center"/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6DB" w14:textId="101FF1E4" w:rsidR="005448C6" w:rsidRDefault="005448C6" w:rsidP="005448C6">
            <w:pPr>
              <w:spacing w:line="190" w:lineRule="exact"/>
              <w:jc w:val="center"/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A2D8" w14:textId="77777777" w:rsidR="005448C6" w:rsidRDefault="005448C6" w:rsidP="005448C6">
            <w:pPr>
              <w:spacing w:line="190" w:lineRule="exact"/>
              <w:jc w:val="center"/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16A7" w14:textId="28278B83" w:rsidR="005448C6" w:rsidRDefault="005448C6" w:rsidP="005448C6">
            <w:pPr>
              <w:spacing w:line="190" w:lineRule="exact"/>
              <w:jc w:val="center"/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ADF" w14:textId="5247D0F1" w:rsidR="005448C6" w:rsidRPr="00607F31" w:rsidRDefault="005448C6" w:rsidP="00B51A65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3D8F" w14:textId="77777777" w:rsidR="005448C6" w:rsidRPr="00607F31" w:rsidRDefault="005448C6" w:rsidP="005448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7E7AE7" w14:textId="77777777" w:rsidR="005448C6" w:rsidRDefault="005448C6" w:rsidP="005448C6">
            <w:pPr>
              <w:spacing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48C6" w14:paraId="40E19183" w14:textId="77777777" w:rsidTr="5C309DA7">
        <w:trPr>
          <w:cantSplit/>
          <w:trHeight w:val="30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978D" w14:textId="77777777" w:rsidR="005448C6" w:rsidRPr="00607F31" w:rsidRDefault="005448C6" w:rsidP="005448C6">
            <w:pPr>
              <w:spacing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E1AD" w14:textId="6DF7F607" w:rsidR="005448C6" w:rsidRPr="00607F31" w:rsidRDefault="005448C6" w:rsidP="005448C6">
            <w:pPr>
              <w:spacing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8170" w14:textId="2DAD5739" w:rsidR="005448C6" w:rsidRPr="00607F31" w:rsidRDefault="005448C6" w:rsidP="005448C6">
            <w:pPr>
              <w:spacing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8C7C" w14:textId="6004A7FC" w:rsidR="005448C6" w:rsidRPr="00607F31" w:rsidRDefault="005448C6" w:rsidP="005448C6">
            <w:pPr>
              <w:spacing w:line="190" w:lineRule="exac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7957" w14:textId="46EF28FF" w:rsidR="005448C6" w:rsidRPr="00137A10" w:rsidRDefault="005448C6" w:rsidP="005448C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E808" w14:textId="4FD8B045" w:rsidR="005448C6" w:rsidRPr="00607F31" w:rsidRDefault="005448C6" w:rsidP="005448C6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C624442" w14:textId="77777777" w:rsidR="005448C6" w:rsidRDefault="005448C6" w:rsidP="005448C6">
            <w:pPr>
              <w:spacing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BCDB222" w14:textId="77777777" w:rsidR="00DF4F6B" w:rsidRDefault="00DF4F6B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F5E0" w14:textId="77777777" w:rsidR="00EF0DC1" w:rsidRDefault="00EF0DC1" w:rsidP="00DF4F6B">
      <w:r>
        <w:separator/>
      </w:r>
    </w:p>
  </w:endnote>
  <w:endnote w:type="continuationSeparator" w:id="0">
    <w:p w14:paraId="4B2BDED9" w14:textId="77777777" w:rsidR="00EF0DC1" w:rsidRDefault="00EF0DC1" w:rsidP="00DF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D56D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7A50B" w14:textId="77777777" w:rsidR="00F37030" w:rsidRDefault="00F37030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247C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F18954" w14:textId="77777777" w:rsidR="00F37030" w:rsidRDefault="00F37030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13A6" w14:textId="77777777" w:rsidR="00EF0DC1" w:rsidRDefault="00EF0DC1" w:rsidP="00DF4F6B">
      <w:r>
        <w:separator/>
      </w:r>
    </w:p>
  </w:footnote>
  <w:footnote w:type="continuationSeparator" w:id="0">
    <w:p w14:paraId="5E09FC4F" w14:textId="77777777" w:rsidR="00EF0DC1" w:rsidRDefault="00EF0DC1" w:rsidP="00DF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43D2012" w14:textId="77777777" w:rsidR="00F37030" w:rsidRDefault="00F37030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044243" w14:textId="77777777" w:rsidR="00F37030" w:rsidRPr="00777AC5" w:rsidRDefault="00F37030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6EB125" w14:textId="77777777" w:rsidR="00F37030" w:rsidRDefault="00F37030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</w:p>
      </w:tc>
    </w:tr>
  </w:tbl>
  <w:p w14:paraId="73EC5CC6" w14:textId="77777777" w:rsidR="00F37030" w:rsidRDefault="00F37030">
    <w:pPr>
      <w:pStyle w:val="Header"/>
    </w:pPr>
  </w:p>
  <w:p w14:paraId="4DB01882" w14:textId="77777777" w:rsidR="00F37030" w:rsidRDefault="00F37030">
    <w:pPr>
      <w:pStyle w:val="Header"/>
      <w:rPr>
        <w:sz w:val="2"/>
        <w:szCs w:val="2"/>
      </w:rPr>
    </w:pPr>
  </w:p>
  <w:p w14:paraId="77A90160" w14:textId="77777777" w:rsidR="00F37030" w:rsidRDefault="00F37030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7D2D"/>
    <w:multiLevelType w:val="hybridMultilevel"/>
    <w:tmpl w:val="4A980E2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0032C4"/>
    <w:multiLevelType w:val="hybridMultilevel"/>
    <w:tmpl w:val="4A980E2E"/>
    <w:lvl w:ilvl="0" w:tplc="3B50F1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9585C1"/>
    <w:multiLevelType w:val="multilevel"/>
    <w:tmpl w:val="8B5E2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317956981">
    <w:abstractNumId w:val="2"/>
  </w:num>
  <w:num w:numId="2" w16cid:durableId="301229697">
    <w:abstractNumId w:val="3"/>
  </w:num>
  <w:num w:numId="3" w16cid:durableId="1421636756">
    <w:abstractNumId w:val="1"/>
  </w:num>
  <w:num w:numId="4" w16cid:durableId="22067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33898"/>
    <w:rsid w:val="00044598"/>
    <w:rsid w:val="001B3D07"/>
    <w:rsid w:val="001D0F91"/>
    <w:rsid w:val="001E00C6"/>
    <w:rsid w:val="001E3876"/>
    <w:rsid w:val="00223CBE"/>
    <w:rsid w:val="002849A7"/>
    <w:rsid w:val="002D1847"/>
    <w:rsid w:val="002E7D70"/>
    <w:rsid w:val="002F135C"/>
    <w:rsid w:val="002F6719"/>
    <w:rsid w:val="003173FB"/>
    <w:rsid w:val="0032135E"/>
    <w:rsid w:val="003457B0"/>
    <w:rsid w:val="00363583"/>
    <w:rsid w:val="00366FD7"/>
    <w:rsid w:val="00382632"/>
    <w:rsid w:val="0040566D"/>
    <w:rsid w:val="00405FB3"/>
    <w:rsid w:val="00420438"/>
    <w:rsid w:val="004248BD"/>
    <w:rsid w:val="00434B73"/>
    <w:rsid w:val="00450EEA"/>
    <w:rsid w:val="00471CD2"/>
    <w:rsid w:val="00472C3C"/>
    <w:rsid w:val="004A2010"/>
    <w:rsid w:val="004B4BB7"/>
    <w:rsid w:val="004B5B70"/>
    <w:rsid w:val="005242C9"/>
    <w:rsid w:val="005448C6"/>
    <w:rsid w:val="00556802"/>
    <w:rsid w:val="00580816"/>
    <w:rsid w:val="005A256D"/>
    <w:rsid w:val="005B1074"/>
    <w:rsid w:val="005D6F5F"/>
    <w:rsid w:val="00607F31"/>
    <w:rsid w:val="00657453"/>
    <w:rsid w:val="006701C2"/>
    <w:rsid w:val="00694037"/>
    <w:rsid w:val="006A4C13"/>
    <w:rsid w:val="006B7520"/>
    <w:rsid w:val="006D0849"/>
    <w:rsid w:val="006F32C1"/>
    <w:rsid w:val="00715D55"/>
    <w:rsid w:val="00777AC5"/>
    <w:rsid w:val="00797328"/>
    <w:rsid w:val="007A6C85"/>
    <w:rsid w:val="007B3CF2"/>
    <w:rsid w:val="007C0949"/>
    <w:rsid w:val="007D2D72"/>
    <w:rsid w:val="007D6248"/>
    <w:rsid w:val="00841D26"/>
    <w:rsid w:val="00863150"/>
    <w:rsid w:val="008742E2"/>
    <w:rsid w:val="008A6169"/>
    <w:rsid w:val="00906A20"/>
    <w:rsid w:val="009177A1"/>
    <w:rsid w:val="00967343"/>
    <w:rsid w:val="00981D31"/>
    <w:rsid w:val="009D0F11"/>
    <w:rsid w:val="009E2FBD"/>
    <w:rsid w:val="009F61CD"/>
    <w:rsid w:val="00A13B92"/>
    <w:rsid w:val="00A47088"/>
    <w:rsid w:val="00AB7D06"/>
    <w:rsid w:val="00B3792D"/>
    <w:rsid w:val="00B51A65"/>
    <w:rsid w:val="00B62659"/>
    <w:rsid w:val="00B62E4A"/>
    <w:rsid w:val="00B65688"/>
    <w:rsid w:val="00B96508"/>
    <w:rsid w:val="00C21336"/>
    <w:rsid w:val="00C33E85"/>
    <w:rsid w:val="00C408D1"/>
    <w:rsid w:val="00C630BD"/>
    <w:rsid w:val="00CC0EB7"/>
    <w:rsid w:val="00CD3BBF"/>
    <w:rsid w:val="00CF40D5"/>
    <w:rsid w:val="00D131BD"/>
    <w:rsid w:val="00D36C4F"/>
    <w:rsid w:val="00D42C63"/>
    <w:rsid w:val="00D6268F"/>
    <w:rsid w:val="00D67DE8"/>
    <w:rsid w:val="00D94107"/>
    <w:rsid w:val="00D9721E"/>
    <w:rsid w:val="00DB3162"/>
    <w:rsid w:val="00DF4E03"/>
    <w:rsid w:val="00DF4F6B"/>
    <w:rsid w:val="00E4309D"/>
    <w:rsid w:val="00E60C4A"/>
    <w:rsid w:val="00E732CD"/>
    <w:rsid w:val="00E90E5C"/>
    <w:rsid w:val="00E95E05"/>
    <w:rsid w:val="00EE5FD1"/>
    <w:rsid w:val="00EF0DC1"/>
    <w:rsid w:val="00EF7842"/>
    <w:rsid w:val="00F27817"/>
    <w:rsid w:val="00F33F22"/>
    <w:rsid w:val="00F37030"/>
    <w:rsid w:val="00F65050"/>
    <w:rsid w:val="00F652F3"/>
    <w:rsid w:val="00FB6CA2"/>
    <w:rsid w:val="00FC2AA2"/>
    <w:rsid w:val="00FC39AE"/>
    <w:rsid w:val="424017B8"/>
    <w:rsid w:val="5C309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4B8A1"/>
  <w15:chartTrackingRefBased/>
  <w15:docId w15:val="{EED8BE88-5E43-4909-9CE6-65EDB482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Pr>
      <w:color w:val="FF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2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2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2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2"/>
      </w:numPr>
      <w:spacing w:before="180"/>
      <w:jc w:val="center"/>
    </w:pPr>
    <w:rPr>
      <w:rFonts w:ascii="Times New Roman Bold" w:hAnsi="Times New Roman Bold" w:cs="Times New Roman Bold"/>
      <w:b/>
    </w:rPr>
  </w:style>
  <w:style w:type="character" w:styleId="Hyperlink">
    <w:name w:val="Hyperlink"/>
    <w:basedOn w:val="DefaultParagraphFont"/>
    <w:uiPriority w:val="99"/>
    <w:unhideWhenUsed/>
    <w:rsid w:val="5C309DA7"/>
    <w:rPr>
      <w:color w:val="0563C1"/>
      <w:u w:val="single"/>
    </w:rPr>
  </w:style>
  <w:style w:type="paragraph" w:styleId="ListParagraph">
    <w:name w:val="List Paragraph"/>
    <w:aliases w:val="Ha,Medium Grid 1 - Accent 21"/>
    <w:basedOn w:val="Normal"/>
    <w:link w:val="ListParagraphChar"/>
    <w:uiPriority w:val="34"/>
    <w:qFormat/>
    <w:rsid w:val="5C309DA7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CF2"/>
    <w:rPr>
      <w:rFonts w:ascii="Arial" w:hAnsi="Arial" w:cs="Arial"/>
      <w:lang w:val="en-GB" w:eastAsia="en-US"/>
    </w:rPr>
  </w:style>
  <w:style w:type="character" w:customStyle="1" w:styleId="ListParagraphChar">
    <w:name w:val="List Paragraph Char"/>
    <w:aliases w:val="Ha Char,Medium Grid 1 - Accent 21 Char"/>
    <w:basedOn w:val="DefaultParagraphFont"/>
    <w:link w:val="ListParagraph"/>
    <w:uiPriority w:val="34"/>
    <w:rsid w:val="007B3CF2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F8A24BDA156408750DD73BBCB35FD" ma:contentTypeVersion="18" ma:contentTypeDescription="Create a new document." ma:contentTypeScope="" ma:versionID="9aab3a933b248b584517b5313a63cfdd">
  <xsd:schema xmlns:xsd="http://www.w3.org/2001/XMLSchema" xmlns:xs="http://www.w3.org/2001/XMLSchema" xmlns:p="http://schemas.microsoft.com/office/2006/metadata/properties" xmlns:ns2="269cd23b-b011-4b0e-8b15-579f85438ccf" xmlns:ns3="4cf0473a-18b3-4c49-a73d-d56e1aebdd8d" targetNamespace="http://schemas.microsoft.com/office/2006/metadata/properties" ma:root="true" ma:fieldsID="9e345c4f8f0f72353c26895068ac1ce9" ns2:_="" ns3:_="">
    <xsd:import namespace="269cd23b-b011-4b0e-8b15-579f85438ccf"/>
    <xsd:import namespace="4cf0473a-18b3-4c49-a73d-d56e1aebd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d23b-b011-4b0e-8b15-579f85438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7db257-020d-4dec-b2d7-25c3c37c6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0473a-18b3-4c49-a73d-d56e1aebd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59fba-4ea3-4158-bc46-18c3ea93b9a8}" ma:internalName="TaxCatchAll" ma:showField="CatchAllData" ma:web="4cf0473a-18b3-4c49-a73d-d56e1aebd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0473a-18b3-4c49-a73d-d56e1aebdd8d" xsi:nil="true"/>
    <lcf76f155ced4ddcb4097134ff3c332f xmlns="269cd23b-b011-4b0e-8b15-579f85438c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1D5484-5D11-47DC-9B8C-68F918FF4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cd23b-b011-4b0e-8b15-579f85438ccf"/>
    <ds:schemaRef ds:uri="4cf0473a-18b3-4c49-a73d-d56e1aebd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BB2CA-589C-4437-A969-1BF9BFF8EF63}">
  <ds:schemaRefs>
    <ds:schemaRef ds:uri="http://schemas.microsoft.com/office/2006/metadata/properties"/>
    <ds:schemaRef ds:uri="http://schemas.microsoft.com/office/infopath/2007/PartnerControls"/>
    <ds:schemaRef ds:uri="4cf0473a-18b3-4c49-a73d-d56e1aebdd8d"/>
    <ds:schemaRef ds:uri="269cd23b-b011-4b0e-8b15-579f85438c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UNFCCC</dc:creator>
  <cp:keywords/>
  <dc:description>FORM (ISO)</dc:description>
  <cp:lastModifiedBy>Edwin Cogho</cp:lastModifiedBy>
  <cp:revision>28</cp:revision>
  <cp:lastPrinted>2001-10-25T12:04:00Z</cp:lastPrinted>
  <dcterms:created xsi:type="dcterms:W3CDTF">2024-06-21T15:42:00Z</dcterms:created>
  <dcterms:modified xsi:type="dcterms:W3CDTF">2025-05-22T13:11:00Z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0x010100B00F8A24BDA156408750DD73BBCB35FD</vt:lpwstr>
  </property>
  <property fmtid="{D5CDD505-2E9C-101B-9397-08002B2CF9AE}" pid="4" name="MediaServiceImageTags">
    <vt:lpwstr/>
  </property>
</Properties>
</file>