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6C8BA" w14:textId="5E48BF71" w:rsidR="005B1126" w:rsidRPr="00451EEF" w:rsidRDefault="00794A36" w:rsidP="00BC15C4">
      <w:pPr>
        <w:jc w:val="both"/>
        <w:rPr>
          <w:b/>
          <w:bCs/>
          <w:u w:val="single"/>
          <w:lang w:val="en-US"/>
        </w:rPr>
      </w:pPr>
      <w:r w:rsidRPr="00451EEF">
        <w:rPr>
          <w:b/>
          <w:bCs/>
          <w:u w:val="single"/>
          <w:lang w:val="en-US"/>
        </w:rPr>
        <w:t>ACM0002 Revision points</w:t>
      </w:r>
    </w:p>
    <w:p w14:paraId="28F6E7CB" w14:textId="77777777" w:rsidR="00451EEF" w:rsidRDefault="00451EEF" w:rsidP="00BC15C4">
      <w:pPr>
        <w:jc w:val="both"/>
        <w:rPr>
          <w:b/>
          <w:bCs/>
          <w:u w:val="single"/>
          <w:lang w:val="en-US"/>
        </w:rPr>
      </w:pPr>
    </w:p>
    <w:p w14:paraId="2A344BF2" w14:textId="5991963B" w:rsidR="00C82B37" w:rsidRPr="00544823" w:rsidRDefault="003508AE" w:rsidP="00544823">
      <w:pPr>
        <w:pStyle w:val="ListParagraph"/>
        <w:numPr>
          <w:ilvl w:val="0"/>
          <w:numId w:val="3"/>
        </w:numPr>
        <w:jc w:val="both"/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Proposed clause (</w:t>
      </w:r>
      <w:r w:rsidR="00E10A85" w:rsidRPr="00544823">
        <w:rPr>
          <w:b/>
          <w:bCs/>
          <w:u w:val="single"/>
          <w:lang w:val="en-US"/>
        </w:rPr>
        <w:t xml:space="preserve">4. </w:t>
      </w:r>
      <w:r w:rsidR="00C82B37" w:rsidRPr="00544823">
        <w:rPr>
          <w:b/>
          <w:bCs/>
          <w:u w:val="single"/>
          <w:lang w:val="en-US"/>
        </w:rPr>
        <w:t>Definitions-</w:t>
      </w:r>
      <w:r>
        <w:rPr>
          <w:b/>
          <w:bCs/>
          <w:u w:val="single"/>
          <w:lang w:val="en-US"/>
        </w:rPr>
        <w:t>)</w:t>
      </w:r>
    </w:p>
    <w:p w14:paraId="565D3832" w14:textId="4DAEE712" w:rsidR="00E10A85" w:rsidRPr="0029293B" w:rsidRDefault="00E10A85" w:rsidP="00BA2B12">
      <w:pPr>
        <w:ind w:left="360"/>
        <w:jc w:val="both"/>
        <w:rPr>
          <w:lang w:val="en-US"/>
        </w:rPr>
      </w:pPr>
      <w:bookmarkStart w:id="0" w:name="_Hlk164584722"/>
      <w:r w:rsidRPr="0029293B">
        <w:rPr>
          <w:b/>
          <w:bCs/>
          <w:lang w:val="en-US"/>
        </w:rPr>
        <w:t>Wind Solar hybrid Project</w:t>
      </w:r>
      <w:r w:rsidR="00684853">
        <w:rPr>
          <w:b/>
          <w:bCs/>
          <w:lang w:val="en-US"/>
        </w:rPr>
        <w:t xml:space="preserve"> supplying </w:t>
      </w:r>
      <w:bookmarkEnd w:id="0"/>
      <w:r w:rsidR="00684853">
        <w:rPr>
          <w:b/>
          <w:bCs/>
          <w:lang w:val="en-US"/>
        </w:rPr>
        <w:t>“Round the clock” Power</w:t>
      </w:r>
      <w:r w:rsidR="00A1583B">
        <w:rPr>
          <w:b/>
          <w:bCs/>
          <w:lang w:val="en-US"/>
        </w:rPr>
        <w:t xml:space="preserve"> </w:t>
      </w:r>
      <w:bookmarkStart w:id="1" w:name="_Hlk164585124"/>
      <w:r w:rsidR="00A1583B">
        <w:rPr>
          <w:b/>
          <w:bCs/>
          <w:lang w:val="en-US"/>
        </w:rPr>
        <w:t>(doesn’t include BESS)</w:t>
      </w:r>
      <w:r w:rsidR="00027766">
        <w:rPr>
          <w:b/>
          <w:bCs/>
          <w:lang w:val="en-US"/>
        </w:rPr>
        <w:t xml:space="preserve"> to grid</w:t>
      </w:r>
      <w:r w:rsidRPr="0029293B">
        <w:rPr>
          <w:b/>
          <w:bCs/>
          <w:lang w:val="en-US"/>
        </w:rPr>
        <w:t xml:space="preserve"> </w:t>
      </w:r>
      <w:bookmarkEnd w:id="1"/>
      <w:r w:rsidR="005C7659" w:rsidRPr="0029293B">
        <w:rPr>
          <w:b/>
          <w:bCs/>
          <w:lang w:val="en-US"/>
        </w:rPr>
        <w:t>–</w:t>
      </w:r>
      <w:r w:rsidR="005C7659" w:rsidRPr="0029293B">
        <w:rPr>
          <w:lang w:val="en-US"/>
        </w:rPr>
        <w:t xml:space="preserve"> A hybrid renewable energy project</w:t>
      </w:r>
      <w:r w:rsidR="00BA2B3C" w:rsidRPr="0029293B">
        <w:rPr>
          <w:lang w:val="en-US"/>
        </w:rPr>
        <w:t xml:space="preserve"> with oversized Wind and Solar capacity</w:t>
      </w:r>
      <w:r w:rsidR="00683208" w:rsidRPr="0029293B">
        <w:rPr>
          <w:lang w:val="en-US"/>
        </w:rPr>
        <w:t xml:space="preserve"> and having deployed smart plant controller</w:t>
      </w:r>
      <w:r w:rsidR="001074C1">
        <w:rPr>
          <w:lang w:val="en-US"/>
        </w:rPr>
        <w:t>s</w:t>
      </w:r>
      <w:r w:rsidR="00BA2B3C" w:rsidRPr="0029293B">
        <w:rPr>
          <w:lang w:val="en-US"/>
        </w:rPr>
        <w:t xml:space="preserve"> to</w:t>
      </w:r>
      <w:r w:rsidR="0037442D" w:rsidRPr="0029293B">
        <w:rPr>
          <w:lang w:val="en-US"/>
        </w:rPr>
        <w:t xml:space="preserve"> attain relatively</w:t>
      </w:r>
      <w:r w:rsidR="00BA2B3C" w:rsidRPr="0029293B">
        <w:rPr>
          <w:lang w:val="en-US"/>
        </w:rPr>
        <w:t xml:space="preserve"> </w:t>
      </w:r>
      <w:r w:rsidR="0037442D" w:rsidRPr="0029293B">
        <w:rPr>
          <w:lang w:val="en-US"/>
        </w:rPr>
        <w:t>firm Renewable</w:t>
      </w:r>
      <w:r w:rsidR="00BA2B3C" w:rsidRPr="0029293B">
        <w:rPr>
          <w:lang w:val="en-US"/>
        </w:rPr>
        <w:t xml:space="preserve"> Power</w:t>
      </w:r>
      <w:r w:rsidR="00683208" w:rsidRPr="0029293B">
        <w:rPr>
          <w:lang w:val="en-US"/>
        </w:rPr>
        <w:t xml:space="preserve"> and a higher annual PLF </w:t>
      </w:r>
      <w:r w:rsidR="00640417" w:rsidRPr="0029293B">
        <w:rPr>
          <w:lang w:val="en-US"/>
        </w:rPr>
        <w:t>supplying power</w:t>
      </w:r>
      <w:r w:rsidR="0037442D" w:rsidRPr="0029293B">
        <w:rPr>
          <w:lang w:val="en-US"/>
        </w:rPr>
        <w:t xml:space="preserve"> to the</w:t>
      </w:r>
      <w:r w:rsidR="00683208" w:rsidRPr="0029293B">
        <w:rPr>
          <w:lang w:val="en-US"/>
        </w:rPr>
        <w:t xml:space="preserve"> grid.</w:t>
      </w:r>
      <w:r w:rsidR="00BA2B3C" w:rsidRPr="0029293B">
        <w:rPr>
          <w:lang w:val="en-US"/>
        </w:rPr>
        <w:t xml:space="preserve"> </w:t>
      </w:r>
    </w:p>
    <w:p w14:paraId="7741E65D" w14:textId="38C0E405" w:rsidR="00C82B37" w:rsidRPr="0029293B" w:rsidRDefault="00640417" w:rsidP="00BA2B12">
      <w:pPr>
        <w:ind w:left="360"/>
        <w:jc w:val="both"/>
        <w:rPr>
          <w:lang w:val="en-US"/>
        </w:rPr>
      </w:pPr>
      <w:r w:rsidRPr="0029293B">
        <w:rPr>
          <w:b/>
          <w:bCs/>
          <w:lang w:val="en-US"/>
        </w:rPr>
        <w:t>Rationale-</w:t>
      </w:r>
      <w:r w:rsidRPr="0029293B">
        <w:rPr>
          <w:lang w:val="en-US"/>
        </w:rPr>
        <w:t xml:space="preserve"> Wind Solar </w:t>
      </w:r>
      <w:r w:rsidR="000603EF" w:rsidRPr="0029293B">
        <w:rPr>
          <w:lang w:val="en-US"/>
        </w:rPr>
        <w:t>technology</w:t>
      </w:r>
      <w:r w:rsidR="00F21F44" w:rsidRPr="0029293B">
        <w:rPr>
          <w:lang w:val="en-US"/>
        </w:rPr>
        <w:t xml:space="preserve"> is </w:t>
      </w:r>
      <w:r w:rsidR="000603EF" w:rsidRPr="0029293B">
        <w:rPr>
          <w:lang w:val="en-US"/>
        </w:rPr>
        <w:t>one</w:t>
      </w:r>
      <w:r w:rsidR="00F21F44" w:rsidRPr="0029293B">
        <w:rPr>
          <w:lang w:val="en-US"/>
        </w:rPr>
        <w:t xml:space="preserve"> of its kind, which deploys high </w:t>
      </w:r>
      <w:r w:rsidR="000603EF" w:rsidRPr="0029293B">
        <w:rPr>
          <w:lang w:val="en-US"/>
        </w:rPr>
        <w:t xml:space="preserve">end </w:t>
      </w:r>
      <w:r w:rsidR="00F21F44" w:rsidRPr="0029293B">
        <w:rPr>
          <w:lang w:val="en-US"/>
        </w:rPr>
        <w:t xml:space="preserve">CAPEX </w:t>
      </w:r>
      <w:r w:rsidR="004B2F22" w:rsidRPr="0029293B">
        <w:rPr>
          <w:lang w:val="en-US"/>
        </w:rPr>
        <w:t>by</w:t>
      </w:r>
      <w:r w:rsidR="00F21F44" w:rsidRPr="0029293B">
        <w:rPr>
          <w:lang w:val="en-US"/>
        </w:rPr>
        <w:t xml:space="preserve"> oversizing the </w:t>
      </w:r>
      <w:r w:rsidR="004B2F22" w:rsidRPr="0029293B">
        <w:rPr>
          <w:lang w:val="en-US"/>
        </w:rPr>
        <w:t>overall</w:t>
      </w:r>
      <w:r w:rsidR="000603EF" w:rsidRPr="0029293B">
        <w:rPr>
          <w:lang w:val="en-US"/>
        </w:rPr>
        <w:t xml:space="preserve"> project</w:t>
      </w:r>
      <w:r w:rsidR="004B2F22" w:rsidRPr="0029293B">
        <w:rPr>
          <w:lang w:val="en-US"/>
        </w:rPr>
        <w:t xml:space="preserve"> capacity.</w:t>
      </w:r>
      <w:r w:rsidR="009609BE" w:rsidRPr="0029293B">
        <w:rPr>
          <w:lang w:val="en-US"/>
        </w:rPr>
        <w:t xml:space="preserve"> This maintains an overall </w:t>
      </w:r>
      <w:r w:rsidR="00D710B7" w:rsidRPr="0029293B">
        <w:rPr>
          <w:lang w:val="en-US"/>
        </w:rPr>
        <w:t xml:space="preserve">grid balance with a relatively firm power </w:t>
      </w:r>
      <w:bookmarkStart w:id="2" w:name="_Hlk164584844"/>
      <w:r w:rsidR="00D710B7" w:rsidRPr="0029293B">
        <w:rPr>
          <w:lang w:val="en-US"/>
        </w:rPr>
        <w:t>compared to vanilla Solar/Wind Projects</w:t>
      </w:r>
      <w:bookmarkEnd w:id="2"/>
      <w:r w:rsidR="00D710B7" w:rsidRPr="0029293B">
        <w:rPr>
          <w:lang w:val="en-US"/>
        </w:rPr>
        <w:t>.</w:t>
      </w:r>
      <w:r w:rsidR="00BC15C4" w:rsidRPr="0029293B">
        <w:rPr>
          <w:lang w:val="en-US"/>
        </w:rPr>
        <w:t xml:space="preserve"> Such projects are sustainable in nature</w:t>
      </w:r>
      <w:r w:rsidR="00B7114F">
        <w:rPr>
          <w:lang w:val="en-US"/>
        </w:rPr>
        <w:t xml:space="preserve"> </w:t>
      </w:r>
      <w:r w:rsidR="00AD6CB0">
        <w:rPr>
          <w:lang w:val="en-US"/>
        </w:rPr>
        <w:t>compared to</w:t>
      </w:r>
      <w:r w:rsidR="00F978EF">
        <w:rPr>
          <w:lang w:val="en-US"/>
        </w:rPr>
        <w:t xml:space="preserve"> other</w:t>
      </w:r>
      <w:r w:rsidR="00AD6CB0">
        <w:rPr>
          <w:lang w:val="en-US"/>
        </w:rPr>
        <w:t xml:space="preserve"> storage systems as the project </w:t>
      </w:r>
      <w:r w:rsidR="002E7C87">
        <w:rPr>
          <w:lang w:val="en-US"/>
        </w:rPr>
        <w:t>involves</w:t>
      </w:r>
      <w:r w:rsidR="00AD6CB0">
        <w:rPr>
          <w:lang w:val="en-US"/>
        </w:rPr>
        <w:t xml:space="preserve"> minimum wastage</w:t>
      </w:r>
      <w:r w:rsidR="00E8107F">
        <w:rPr>
          <w:lang w:val="en-US"/>
        </w:rPr>
        <w:t xml:space="preserve"> compared to </w:t>
      </w:r>
      <w:r w:rsidR="007635AE">
        <w:rPr>
          <w:lang w:val="en-US"/>
        </w:rPr>
        <w:t xml:space="preserve">storage systems </w:t>
      </w:r>
      <w:r w:rsidR="00E8107F">
        <w:rPr>
          <w:lang w:val="en-US"/>
        </w:rPr>
        <w:t xml:space="preserve">which </w:t>
      </w:r>
      <w:r w:rsidR="007635AE">
        <w:rPr>
          <w:lang w:val="en-US"/>
        </w:rPr>
        <w:t xml:space="preserve">involve </w:t>
      </w:r>
      <w:r w:rsidR="008631A0">
        <w:rPr>
          <w:lang w:val="en-US"/>
        </w:rPr>
        <w:t>cyclic replacement</w:t>
      </w:r>
      <w:r w:rsidR="00E8107F">
        <w:rPr>
          <w:lang w:val="en-US"/>
        </w:rPr>
        <w:t xml:space="preserve"> of batteries</w:t>
      </w:r>
      <w:r w:rsidR="009D2C56" w:rsidRPr="0029293B">
        <w:rPr>
          <w:lang w:val="en-US"/>
        </w:rPr>
        <w:t>.</w:t>
      </w:r>
      <w:r w:rsidR="00D710B7" w:rsidRPr="0029293B">
        <w:rPr>
          <w:lang w:val="en-US"/>
        </w:rPr>
        <w:t xml:space="preserve"> </w:t>
      </w:r>
      <w:r w:rsidR="000603EF" w:rsidRPr="0029293B">
        <w:rPr>
          <w:lang w:val="en-US"/>
        </w:rPr>
        <w:t>Penetrations of such technologies is still nasc</w:t>
      </w:r>
      <w:r w:rsidR="009609BE" w:rsidRPr="0029293B">
        <w:rPr>
          <w:lang w:val="en-US"/>
        </w:rPr>
        <w:t xml:space="preserve">ent in the developing </w:t>
      </w:r>
      <w:r w:rsidR="000F306B">
        <w:rPr>
          <w:lang w:val="en-US"/>
        </w:rPr>
        <w:t>nation</w:t>
      </w:r>
      <w:r w:rsidR="00D55221">
        <w:rPr>
          <w:lang w:val="en-US"/>
        </w:rPr>
        <w:t>s</w:t>
      </w:r>
      <w:r w:rsidR="009609BE" w:rsidRPr="0029293B">
        <w:rPr>
          <w:lang w:val="en-US"/>
        </w:rPr>
        <w:t xml:space="preserve"> </w:t>
      </w:r>
      <w:r w:rsidR="00C86848">
        <w:rPr>
          <w:lang w:val="en-US"/>
        </w:rPr>
        <w:t>like</w:t>
      </w:r>
      <w:r w:rsidR="009609BE" w:rsidRPr="0029293B">
        <w:rPr>
          <w:lang w:val="en-US"/>
        </w:rPr>
        <w:t xml:space="preserve"> India</w:t>
      </w:r>
      <w:r w:rsidR="009D2C56" w:rsidRPr="0029293B">
        <w:rPr>
          <w:lang w:val="en-US"/>
        </w:rPr>
        <w:t>, considering</w:t>
      </w:r>
      <w:r w:rsidR="001B19BA">
        <w:rPr>
          <w:lang w:val="en-US"/>
        </w:rPr>
        <w:t xml:space="preserve"> its</w:t>
      </w:r>
      <w:r w:rsidR="009D2C56" w:rsidRPr="0029293B">
        <w:rPr>
          <w:lang w:val="en-US"/>
        </w:rPr>
        <w:t xml:space="preserve"> high CAPEX and a highly competitive market with </w:t>
      </w:r>
      <w:r w:rsidR="00584FC7" w:rsidRPr="0029293B">
        <w:rPr>
          <w:lang w:val="en-US"/>
        </w:rPr>
        <w:t>cutthroat</w:t>
      </w:r>
      <w:r w:rsidR="009D2C56" w:rsidRPr="0029293B">
        <w:rPr>
          <w:lang w:val="en-US"/>
        </w:rPr>
        <w:t xml:space="preserve"> ROE’s</w:t>
      </w:r>
      <w:r w:rsidR="00A41D2F">
        <w:rPr>
          <w:lang w:val="en-US"/>
        </w:rPr>
        <w:t xml:space="preserve">. Such technologies require carbon financing </w:t>
      </w:r>
      <w:r w:rsidR="002C1CFB">
        <w:rPr>
          <w:lang w:val="en-US"/>
        </w:rPr>
        <w:t>for</w:t>
      </w:r>
      <w:r w:rsidR="00A35924">
        <w:rPr>
          <w:lang w:val="en-US"/>
        </w:rPr>
        <w:t xml:space="preserve"> increased</w:t>
      </w:r>
      <w:r w:rsidR="00A41D2F">
        <w:rPr>
          <w:lang w:val="en-US"/>
        </w:rPr>
        <w:t xml:space="preserve"> penetration</w:t>
      </w:r>
      <w:r w:rsidR="00673E7A">
        <w:rPr>
          <w:lang w:val="en-US"/>
        </w:rPr>
        <w:t xml:space="preserve"> in developing </w:t>
      </w:r>
      <w:r w:rsidR="00EA7390">
        <w:rPr>
          <w:lang w:val="en-US"/>
        </w:rPr>
        <w:t>nation</w:t>
      </w:r>
      <w:r w:rsidR="00D55221">
        <w:rPr>
          <w:lang w:val="en-US"/>
        </w:rPr>
        <w:t>s</w:t>
      </w:r>
      <w:r w:rsidR="00EA7390">
        <w:rPr>
          <w:lang w:val="en-US"/>
        </w:rPr>
        <w:t xml:space="preserve"> like India</w:t>
      </w:r>
      <w:r w:rsidR="001B19BA">
        <w:rPr>
          <w:lang w:val="en-US"/>
        </w:rPr>
        <w:t xml:space="preserve"> </w:t>
      </w:r>
      <w:r w:rsidR="000D1A99">
        <w:rPr>
          <w:lang w:val="en-US"/>
        </w:rPr>
        <w:t>to</w:t>
      </w:r>
      <w:r w:rsidR="00A35924">
        <w:rPr>
          <w:lang w:val="en-US"/>
        </w:rPr>
        <w:t xml:space="preserve"> </w:t>
      </w:r>
      <w:r w:rsidR="004F1EE8">
        <w:rPr>
          <w:lang w:val="en-US"/>
        </w:rPr>
        <w:t xml:space="preserve">boost </w:t>
      </w:r>
      <w:r w:rsidR="00A35924">
        <w:rPr>
          <w:lang w:val="en-US"/>
        </w:rPr>
        <w:t>overall</w:t>
      </w:r>
      <w:r w:rsidR="00EA7390">
        <w:rPr>
          <w:lang w:val="en-US"/>
        </w:rPr>
        <w:t xml:space="preserve"> </w:t>
      </w:r>
      <w:r w:rsidR="00B73996">
        <w:rPr>
          <w:lang w:val="en-US"/>
        </w:rPr>
        <w:t xml:space="preserve">penetration </w:t>
      </w:r>
      <w:r w:rsidR="00EA7390">
        <w:rPr>
          <w:lang w:val="en-US"/>
        </w:rPr>
        <w:t>and</w:t>
      </w:r>
      <w:r w:rsidR="00B73996">
        <w:rPr>
          <w:lang w:val="en-US"/>
        </w:rPr>
        <w:t xml:space="preserve"> </w:t>
      </w:r>
      <w:r w:rsidR="00EA7390">
        <w:rPr>
          <w:lang w:val="en-US"/>
        </w:rPr>
        <w:t xml:space="preserve">system </w:t>
      </w:r>
      <w:r w:rsidR="001B19BA">
        <w:rPr>
          <w:lang w:val="en-US"/>
        </w:rPr>
        <w:t>stability</w:t>
      </w:r>
      <w:r w:rsidR="00C86848">
        <w:rPr>
          <w:lang w:val="en-US"/>
        </w:rPr>
        <w:t>.</w:t>
      </w:r>
      <w:r w:rsidR="009609BE" w:rsidRPr="0029293B">
        <w:rPr>
          <w:lang w:val="en-US"/>
        </w:rPr>
        <w:t xml:space="preserve"> </w:t>
      </w:r>
      <w:r w:rsidR="000603EF" w:rsidRPr="0029293B">
        <w:rPr>
          <w:lang w:val="en-US"/>
        </w:rPr>
        <w:t xml:space="preserve"> </w:t>
      </w:r>
      <w:r w:rsidR="004B2F22" w:rsidRPr="0029293B">
        <w:rPr>
          <w:lang w:val="en-US"/>
        </w:rPr>
        <w:t xml:space="preserve"> </w:t>
      </w:r>
    </w:p>
    <w:p w14:paraId="2A86B713" w14:textId="77777777" w:rsidR="00640417" w:rsidRPr="00BC15C4" w:rsidRDefault="00640417" w:rsidP="00BC15C4">
      <w:pPr>
        <w:jc w:val="both"/>
        <w:rPr>
          <w:u w:val="single"/>
          <w:lang w:val="en-US"/>
        </w:rPr>
      </w:pPr>
    </w:p>
    <w:p w14:paraId="7E72E449" w14:textId="4EC1B947" w:rsidR="00EA245C" w:rsidRPr="001D793C" w:rsidRDefault="003B3540" w:rsidP="001D793C">
      <w:pPr>
        <w:pStyle w:val="ListParagraph"/>
        <w:numPr>
          <w:ilvl w:val="0"/>
          <w:numId w:val="3"/>
        </w:numPr>
        <w:jc w:val="both"/>
        <w:rPr>
          <w:b/>
          <w:bCs/>
          <w:u w:val="single"/>
          <w:lang w:val="en-US"/>
        </w:rPr>
      </w:pPr>
      <w:r w:rsidRPr="001D793C">
        <w:rPr>
          <w:b/>
          <w:bCs/>
          <w:u w:val="single"/>
          <w:lang w:val="en-US"/>
        </w:rPr>
        <w:t>Proposed clause</w:t>
      </w:r>
      <w:r>
        <w:rPr>
          <w:b/>
          <w:bCs/>
          <w:u w:val="single"/>
          <w:lang w:val="en-US"/>
        </w:rPr>
        <w:t xml:space="preserve"> (5.</w:t>
      </w:r>
      <w:r w:rsidR="00544823">
        <w:rPr>
          <w:b/>
          <w:bCs/>
          <w:u w:val="single"/>
          <w:lang w:val="en-US"/>
        </w:rPr>
        <w:t>3</w:t>
      </w:r>
      <w:r w:rsidR="00EA2FB6">
        <w:rPr>
          <w:b/>
          <w:bCs/>
          <w:u w:val="single"/>
          <w:lang w:val="en-US"/>
        </w:rPr>
        <w:t>.1</w:t>
      </w:r>
      <w:r w:rsidR="006B0FC4">
        <w:rPr>
          <w:b/>
          <w:bCs/>
          <w:u w:val="single"/>
          <w:lang w:val="en-US"/>
        </w:rPr>
        <w:t xml:space="preserve"> (31 </w:t>
      </w:r>
      <w:r w:rsidR="00BA2B12">
        <w:rPr>
          <w:b/>
          <w:bCs/>
          <w:u w:val="single"/>
          <w:lang w:val="en-US"/>
        </w:rPr>
        <w:t>b</w:t>
      </w:r>
      <w:r w:rsidR="006B0FC4">
        <w:rPr>
          <w:b/>
          <w:bCs/>
          <w:u w:val="single"/>
          <w:lang w:val="en-US"/>
        </w:rPr>
        <w:t>)</w:t>
      </w:r>
      <w:r w:rsidR="00544823">
        <w:rPr>
          <w:b/>
          <w:bCs/>
          <w:u w:val="single"/>
          <w:lang w:val="en-US"/>
        </w:rPr>
        <w:t xml:space="preserve"> Additionality</w:t>
      </w:r>
      <w:r>
        <w:rPr>
          <w:b/>
          <w:bCs/>
          <w:u w:val="single"/>
          <w:lang w:val="en-US"/>
        </w:rPr>
        <w:t>)</w:t>
      </w:r>
      <w:r w:rsidR="00544823">
        <w:rPr>
          <w:b/>
          <w:bCs/>
          <w:u w:val="single"/>
          <w:lang w:val="en-US"/>
        </w:rPr>
        <w:t xml:space="preserve"> </w:t>
      </w:r>
    </w:p>
    <w:p w14:paraId="260789A7" w14:textId="49E38085" w:rsidR="00FE586F" w:rsidRPr="0029293B" w:rsidRDefault="00794A36" w:rsidP="009857BD">
      <w:pPr>
        <w:ind w:left="360"/>
        <w:jc w:val="both"/>
        <w:rPr>
          <w:lang w:val="en-US"/>
        </w:rPr>
      </w:pPr>
      <w:r w:rsidRPr="0029293B">
        <w:rPr>
          <w:lang w:val="en-US"/>
        </w:rPr>
        <w:t>3</w:t>
      </w:r>
      <w:r w:rsidR="00296642" w:rsidRPr="0029293B">
        <w:rPr>
          <w:lang w:val="en-US"/>
        </w:rPr>
        <w:t>1</w:t>
      </w:r>
      <w:r w:rsidRPr="0029293B">
        <w:rPr>
          <w:lang w:val="en-US"/>
        </w:rPr>
        <w:t xml:space="preserve">. </w:t>
      </w:r>
      <w:r w:rsidR="00A902B8" w:rsidRPr="0029293B">
        <w:rPr>
          <w:lang w:val="en-US"/>
        </w:rPr>
        <w:t xml:space="preserve">a </w:t>
      </w:r>
      <w:r w:rsidR="004E6988" w:rsidRPr="0029293B">
        <w:rPr>
          <w:lang w:val="en-US"/>
        </w:rPr>
        <w:t>Project activity</w:t>
      </w:r>
      <w:r w:rsidR="00296642" w:rsidRPr="0029293B">
        <w:rPr>
          <w:lang w:val="en-US"/>
        </w:rPr>
        <w:t xml:space="preserve"> that </w:t>
      </w:r>
      <w:r w:rsidR="00FE586F" w:rsidRPr="0029293B">
        <w:rPr>
          <w:lang w:val="en-US"/>
        </w:rPr>
        <w:t>employs</w:t>
      </w:r>
      <w:r w:rsidR="00296642" w:rsidRPr="0029293B">
        <w:rPr>
          <w:lang w:val="en-US"/>
        </w:rPr>
        <w:t xml:space="preserve"> renewable energy using </w:t>
      </w:r>
      <w:r w:rsidR="00093716">
        <w:rPr>
          <w:lang w:val="en-US"/>
        </w:rPr>
        <w:t>high investment</w:t>
      </w:r>
      <w:r w:rsidR="00093716" w:rsidRPr="0029293B">
        <w:rPr>
          <w:lang w:val="en-US"/>
        </w:rPr>
        <w:t xml:space="preserve"> </w:t>
      </w:r>
      <w:r w:rsidR="00296642" w:rsidRPr="0029293B">
        <w:rPr>
          <w:lang w:val="en-US"/>
        </w:rPr>
        <w:t xml:space="preserve">technologies including </w:t>
      </w:r>
      <w:r w:rsidR="00317B4B">
        <w:rPr>
          <w:lang w:val="en-US"/>
        </w:rPr>
        <w:t xml:space="preserve">(a) </w:t>
      </w:r>
      <w:r w:rsidR="001F095E" w:rsidRPr="0029293B">
        <w:rPr>
          <w:lang w:val="en-US"/>
        </w:rPr>
        <w:t xml:space="preserve">Floating </w:t>
      </w:r>
      <w:proofErr w:type="gramStart"/>
      <w:r w:rsidR="001F095E" w:rsidRPr="0029293B">
        <w:rPr>
          <w:lang w:val="en-US"/>
        </w:rPr>
        <w:t>Solar</w:t>
      </w:r>
      <w:r w:rsidR="00296642" w:rsidRPr="0029293B">
        <w:rPr>
          <w:lang w:val="en-US"/>
        </w:rPr>
        <w:t xml:space="preserve">, </w:t>
      </w:r>
      <w:r w:rsidR="00921E6B">
        <w:rPr>
          <w:lang w:val="en-US"/>
        </w:rPr>
        <w:t xml:space="preserve"> </w:t>
      </w:r>
      <w:r w:rsidR="00317B4B">
        <w:rPr>
          <w:lang w:val="en-US"/>
        </w:rPr>
        <w:t>(</w:t>
      </w:r>
      <w:proofErr w:type="gramEnd"/>
      <w:r w:rsidR="00317B4B">
        <w:rPr>
          <w:lang w:val="en-US"/>
        </w:rPr>
        <w:t xml:space="preserve">b) </w:t>
      </w:r>
      <w:r w:rsidR="00921E6B">
        <w:rPr>
          <w:lang w:val="en-US"/>
        </w:rPr>
        <w:t>Green field Wind</w:t>
      </w:r>
      <w:r w:rsidR="000907A9">
        <w:rPr>
          <w:lang w:val="en-US"/>
        </w:rPr>
        <w:t>-</w:t>
      </w:r>
      <w:r w:rsidR="00921E6B">
        <w:rPr>
          <w:lang w:val="en-US"/>
        </w:rPr>
        <w:t xml:space="preserve">solar project with </w:t>
      </w:r>
      <w:r w:rsidR="00296642" w:rsidRPr="0029293B">
        <w:rPr>
          <w:lang w:val="en-US"/>
        </w:rPr>
        <w:t>BESS,</w:t>
      </w:r>
      <w:r w:rsidR="00317B4B">
        <w:rPr>
          <w:lang w:val="en-US"/>
        </w:rPr>
        <w:t xml:space="preserve"> (c)</w:t>
      </w:r>
      <w:r w:rsidR="00296642" w:rsidRPr="0029293B">
        <w:rPr>
          <w:lang w:val="en-US"/>
        </w:rPr>
        <w:t xml:space="preserve"> Wind-Solar hybrid</w:t>
      </w:r>
      <w:r w:rsidR="00921E6B">
        <w:rPr>
          <w:lang w:val="en-US"/>
        </w:rPr>
        <w:t xml:space="preserve"> projects</w:t>
      </w:r>
      <w:r w:rsidR="00684853">
        <w:rPr>
          <w:lang w:val="en-US"/>
        </w:rPr>
        <w:t xml:space="preserve"> supplying RTC power</w:t>
      </w:r>
      <w:r w:rsidR="00921E6B">
        <w:rPr>
          <w:lang w:val="en-US"/>
        </w:rPr>
        <w:t xml:space="preserve"> (without</w:t>
      </w:r>
      <w:r w:rsidR="00353504">
        <w:rPr>
          <w:lang w:val="en-US"/>
        </w:rPr>
        <w:t xml:space="preserve"> BESS)</w:t>
      </w:r>
      <w:r w:rsidR="00296642" w:rsidRPr="0029293B">
        <w:rPr>
          <w:lang w:val="en-US"/>
        </w:rPr>
        <w:t xml:space="preserve"> will be</w:t>
      </w:r>
      <w:r w:rsidR="0029293B" w:rsidRPr="0029293B">
        <w:rPr>
          <w:lang w:val="en-US"/>
        </w:rPr>
        <w:t xml:space="preserve"> </w:t>
      </w:r>
      <w:r w:rsidR="0029293B" w:rsidRPr="00EA245C">
        <w:rPr>
          <w:b/>
          <w:bCs/>
          <w:lang w:val="en-US"/>
        </w:rPr>
        <w:t>auto</w:t>
      </w:r>
      <w:r w:rsidR="00296642" w:rsidRPr="00EA245C">
        <w:rPr>
          <w:b/>
          <w:bCs/>
          <w:lang w:val="en-US"/>
        </w:rPr>
        <w:t xml:space="preserve"> additional</w:t>
      </w:r>
      <w:r w:rsidR="00DE2859" w:rsidRPr="0029293B">
        <w:rPr>
          <w:lang w:val="en-US"/>
        </w:rPr>
        <w:t>.</w:t>
      </w:r>
    </w:p>
    <w:p w14:paraId="4DA013A9" w14:textId="77777777" w:rsidR="009857BD" w:rsidRDefault="00990B3E" w:rsidP="009857BD">
      <w:pPr>
        <w:ind w:left="360"/>
        <w:jc w:val="both"/>
        <w:rPr>
          <w:b/>
          <w:bCs/>
          <w:lang w:val="en-US"/>
        </w:rPr>
      </w:pPr>
      <w:r w:rsidRPr="00EA245C">
        <w:rPr>
          <w:b/>
          <w:bCs/>
          <w:u w:val="single"/>
          <w:lang w:val="en-US"/>
        </w:rPr>
        <w:t>Rationale-</w:t>
      </w:r>
      <w:r>
        <w:rPr>
          <w:b/>
          <w:bCs/>
          <w:lang w:val="en-US"/>
        </w:rPr>
        <w:t xml:space="preserve"> </w:t>
      </w:r>
    </w:p>
    <w:p w14:paraId="45558827" w14:textId="000B57B3" w:rsidR="00DF3629" w:rsidRDefault="00317B4B" w:rsidP="00317B4B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Above (b) &amp; (c) </w:t>
      </w:r>
      <w:r w:rsidR="00921E6B" w:rsidRPr="00317B4B">
        <w:rPr>
          <w:lang w:val="en-US"/>
        </w:rPr>
        <w:t>are</w:t>
      </w:r>
      <w:r w:rsidR="00DF4758" w:rsidRPr="00317B4B">
        <w:rPr>
          <w:lang w:val="en-US"/>
        </w:rPr>
        <w:t xml:space="preserve"> varied technologies compared to the </w:t>
      </w:r>
      <w:r w:rsidR="00DC1EEE">
        <w:rPr>
          <w:lang w:val="en-US"/>
        </w:rPr>
        <w:t>vanilla</w:t>
      </w:r>
      <w:r w:rsidR="00DF4758" w:rsidRPr="00317B4B">
        <w:rPr>
          <w:lang w:val="en-US"/>
        </w:rPr>
        <w:t xml:space="preserve"> Wind/Solar projects</w:t>
      </w:r>
      <w:r w:rsidR="00DC1EEE">
        <w:rPr>
          <w:lang w:val="en-US"/>
        </w:rPr>
        <w:t>. Such te</w:t>
      </w:r>
      <w:r w:rsidR="006D5F05">
        <w:rPr>
          <w:lang w:val="en-US"/>
        </w:rPr>
        <w:t>chnologies</w:t>
      </w:r>
      <w:r w:rsidR="008F254F">
        <w:rPr>
          <w:lang w:val="en-US"/>
        </w:rPr>
        <w:t xml:space="preserve"> manage the infirm nature of renewables</w:t>
      </w:r>
      <w:r w:rsidR="008B7E63">
        <w:rPr>
          <w:lang w:val="en-US"/>
        </w:rPr>
        <w:t xml:space="preserve"> with </w:t>
      </w:r>
      <w:r w:rsidR="00A70D58">
        <w:rPr>
          <w:lang w:val="en-US"/>
        </w:rPr>
        <w:t>an optimal</w:t>
      </w:r>
      <w:r w:rsidR="008B7E63">
        <w:rPr>
          <w:lang w:val="en-US"/>
        </w:rPr>
        <w:t xml:space="preserve"> mix of different technologies.</w:t>
      </w:r>
      <w:r w:rsidR="00660361">
        <w:rPr>
          <w:lang w:val="en-US"/>
        </w:rPr>
        <w:t xml:space="preserve"> </w:t>
      </w:r>
      <w:r w:rsidR="00A87747">
        <w:rPr>
          <w:lang w:val="en-US"/>
        </w:rPr>
        <w:t xml:space="preserve">This will help the </w:t>
      </w:r>
      <w:r w:rsidR="009D34C5" w:rsidRPr="00317B4B">
        <w:rPr>
          <w:lang w:val="en-US"/>
        </w:rPr>
        <w:t>buyer/</w:t>
      </w:r>
      <w:r w:rsidR="006D5F05">
        <w:rPr>
          <w:lang w:val="en-US"/>
        </w:rPr>
        <w:t>system operator</w:t>
      </w:r>
      <w:r w:rsidR="00DF3629">
        <w:rPr>
          <w:lang w:val="en-US"/>
        </w:rPr>
        <w:t xml:space="preserve"> plan their procurement optimally </w:t>
      </w:r>
      <w:r w:rsidR="008F231F">
        <w:rPr>
          <w:lang w:val="en-US"/>
        </w:rPr>
        <w:t>with firm</w:t>
      </w:r>
      <w:r w:rsidR="009D34C5" w:rsidRPr="00317B4B">
        <w:rPr>
          <w:lang w:val="en-US"/>
        </w:rPr>
        <w:t xml:space="preserve"> renewable sources</w:t>
      </w:r>
      <w:r w:rsidR="007C6C75">
        <w:rPr>
          <w:lang w:val="en-US"/>
        </w:rPr>
        <w:t xml:space="preserve"> which</w:t>
      </w:r>
      <w:r w:rsidR="00AF5BF4">
        <w:rPr>
          <w:lang w:val="en-US"/>
        </w:rPr>
        <w:t xml:space="preserve"> minimizes the system</w:t>
      </w:r>
      <w:r w:rsidR="00F90177">
        <w:rPr>
          <w:lang w:val="en-US"/>
        </w:rPr>
        <w:t xml:space="preserve"> operational</w:t>
      </w:r>
      <w:r w:rsidR="00AF5BF4">
        <w:rPr>
          <w:lang w:val="en-US"/>
        </w:rPr>
        <w:t xml:space="preserve"> cost as well help in </w:t>
      </w:r>
      <w:r w:rsidR="008F231F">
        <w:rPr>
          <w:lang w:val="en-US"/>
        </w:rPr>
        <w:t xml:space="preserve">decarbonization and </w:t>
      </w:r>
      <w:r w:rsidR="009D34C5" w:rsidRPr="00317B4B">
        <w:rPr>
          <w:lang w:val="en-US"/>
        </w:rPr>
        <w:t>overall</w:t>
      </w:r>
      <w:r w:rsidR="00F90177">
        <w:rPr>
          <w:lang w:val="en-US"/>
        </w:rPr>
        <w:t xml:space="preserve"> grid</w:t>
      </w:r>
      <w:r w:rsidR="009D34C5" w:rsidRPr="00317B4B">
        <w:rPr>
          <w:lang w:val="en-US"/>
        </w:rPr>
        <w:t xml:space="preserve"> </w:t>
      </w:r>
      <w:r w:rsidR="00F606CE" w:rsidRPr="00317B4B">
        <w:rPr>
          <w:lang w:val="en-US"/>
        </w:rPr>
        <w:t>stability</w:t>
      </w:r>
      <w:r w:rsidR="00DF4758" w:rsidRPr="00317B4B">
        <w:rPr>
          <w:lang w:val="en-US"/>
        </w:rPr>
        <w:t>.</w:t>
      </w:r>
      <w:r w:rsidR="009D34C5" w:rsidRPr="00317B4B">
        <w:rPr>
          <w:lang w:val="en-US"/>
        </w:rPr>
        <w:t xml:space="preserve"> </w:t>
      </w:r>
    </w:p>
    <w:p w14:paraId="457891EE" w14:textId="2D5121F3" w:rsidR="007A29C4" w:rsidRDefault="00DF3629" w:rsidP="00317B4B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Above (a) is </w:t>
      </w:r>
      <w:r w:rsidR="00796A04" w:rsidRPr="00317B4B">
        <w:rPr>
          <w:lang w:val="en-US"/>
        </w:rPr>
        <w:t>one of</w:t>
      </w:r>
      <w:r>
        <w:rPr>
          <w:lang w:val="en-US"/>
        </w:rPr>
        <w:t xml:space="preserve"> its </w:t>
      </w:r>
      <w:proofErr w:type="gramStart"/>
      <w:r>
        <w:rPr>
          <w:lang w:val="en-US"/>
        </w:rPr>
        <w:t>kind</w:t>
      </w:r>
      <w:proofErr w:type="gramEnd"/>
      <w:r w:rsidR="00796A04" w:rsidRPr="00317B4B">
        <w:rPr>
          <w:lang w:val="en-US"/>
        </w:rPr>
        <w:t xml:space="preserve"> of technology </w:t>
      </w:r>
      <w:r>
        <w:rPr>
          <w:lang w:val="en-US"/>
        </w:rPr>
        <w:t>which</w:t>
      </w:r>
      <w:r w:rsidR="00796A04" w:rsidRPr="00317B4B">
        <w:rPr>
          <w:lang w:val="en-US"/>
        </w:rPr>
        <w:t xml:space="preserve"> </w:t>
      </w:r>
      <w:r w:rsidR="00435DE4" w:rsidRPr="00317B4B">
        <w:rPr>
          <w:lang w:val="en-US"/>
        </w:rPr>
        <w:t>helps</w:t>
      </w:r>
      <w:r w:rsidR="00A547CA">
        <w:rPr>
          <w:lang w:val="en-US"/>
        </w:rPr>
        <w:t xml:space="preserve"> supplying renewable power in the regions where the land mass is constrained. </w:t>
      </w:r>
      <w:r w:rsidR="0012465D">
        <w:rPr>
          <w:lang w:val="en-US"/>
        </w:rPr>
        <w:t>It</w:t>
      </w:r>
      <w:r w:rsidR="00413DDA" w:rsidRPr="00317B4B">
        <w:rPr>
          <w:lang w:val="en-US"/>
        </w:rPr>
        <w:t xml:space="preserve"> also conserve</w:t>
      </w:r>
      <w:r w:rsidR="00F90177">
        <w:rPr>
          <w:lang w:val="en-US"/>
        </w:rPr>
        <w:t>s</w:t>
      </w:r>
      <w:r w:rsidR="00413DDA" w:rsidRPr="00317B4B">
        <w:rPr>
          <w:lang w:val="en-US"/>
        </w:rPr>
        <w:t xml:space="preserve"> a lot of water</w:t>
      </w:r>
      <w:r w:rsidR="0012465D">
        <w:rPr>
          <w:lang w:val="en-US"/>
        </w:rPr>
        <w:t xml:space="preserve"> by serving as</w:t>
      </w:r>
      <w:r w:rsidR="00F90177">
        <w:rPr>
          <w:lang w:val="en-US"/>
        </w:rPr>
        <w:t xml:space="preserve"> a</w:t>
      </w:r>
      <w:r w:rsidR="0012465D">
        <w:rPr>
          <w:lang w:val="en-US"/>
        </w:rPr>
        <w:t xml:space="preserve"> protective layer </w:t>
      </w:r>
      <w:r w:rsidR="004C6BEC">
        <w:rPr>
          <w:lang w:val="en-US"/>
        </w:rPr>
        <w:t>to evaporation of water. F</w:t>
      </w:r>
    </w:p>
    <w:p w14:paraId="1D7B74C4" w14:textId="01FD8360" w:rsidR="00A26AB6" w:rsidRPr="007A29C4" w:rsidRDefault="007A29C4" w:rsidP="007A29C4">
      <w:pPr>
        <w:ind w:left="360"/>
        <w:jc w:val="both"/>
        <w:rPr>
          <w:lang w:val="en-US"/>
        </w:rPr>
      </w:pPr>
      <w:proofErr w:type="gramStart"/>
      <w:r>
        <w:rPr>
          <w:lang w:val="en-US"/>
        </w:rPr>
        <w:t>Above</w:t>
      </w:r>
      <w:proofErr w:type="gramEnd"/>
      <w:r>
        <w:rPr>
          <w:lang w:val="en-US"/>
        </w:rPr>
        <w:t xml:space="preserve"> technologies being different </w:t>
      </w:r>
      <w:r w:rsidR="00867855">
        <w:rPr>
          <w:lang w:val="en-US"/>
        </w:rPr>
        <w:t xml:space="preserve">(new of its kind) are </w:t>
      </w:r>
      <w:r>
        <w:rPr>
          <w:lang w:val="en-US"/>
        </w:rPr>
        <w:t xml:space="preserve">relative </w:t>
      </w:r>
      <w:r w:rsidR="00093716">
        <w:rPr>
          <w:lang w:val="en-US"/>
        </w:rPr>
        <w:t xml:space="preserve">high investment </w:t>
      </w:r>
      <w:r>
        <w:rPr>
          <w:lang w:val="en-US"/>
        </w:rPr>
        <w:t>cost</w:t>
      </w:r>
      <w:r w:rsidR="00093716">
        <w:rPr>
          <w:lang w:val="en-US"/>
        </w:rPr>
        <w:t xml:space="preserve"> compared to </w:t>
      </w:r>
      <w:proofErr w:type="spellStart"/>
      <w:r w:rsidR="00D26191">
        <w:rPr>
          <w:lang w:val="en-US"/>
        </w:rPr>
        <w:t>plain</w:t>
      </w:r>
      <w:r w:rsidR="00093716" w:rsidRPr="0029293B">
        <w:rPr>
          <w:lang w:val="en-US"/>
        </w:rPr>
        <w:t>Solar</w:t>
      </w:r>
      <w:proofErr w:type="spellEnd"/>
      <w:r w:rsidR="00093716" w:rsidRPr="0029293B">
        <w:rPr>
          <w:lang w:val="en-US"/>
        </w:rPr>
        <w:t>/Wind Project</w:t>
      </w:r>
      <w:r w:rsidR="00287F05">
        <w:rPr>
          <w:lang w:val="en-US"/>
        </w:rPr>
        <w:t xml:space="preserve"> technologies</w:t>
      </w:r>
      <w:r w:rsidR="00093716">
        <w:rPr>
          <w:lang w:val="en-US"/>
        </w:rPr>
        <w:t xml:space="preserve"> available in the </w:t>
      </w:r>
      <w:proofErr w:type="gramStart"/>
      <w:r w:rsidR="00093716">
        <w:rPr>
          <w:lang w:val="en-US"/>
        </w:rPr>
        <w:t>market</w:t>
      </w:r>
      <w:r w:rsidR="00093716" w:rsidDel="00093716">
        <w:rPr>
          <w:lang w:val="en-US"/>
        </w:rPr>
        <w:t xml:space="preserve"> 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="00C40112">
        <w:rPr>
          <w:lang w:val="en-US"/>
        </w:rPr>
        <w:t>As s</w:t>
      </w:r>
      <w:r w:rsidR="00675A48" w:rsidRPr="007A29C4">
        <w:rPr>
          <w:lang w:val="en-US"/>
        </w:rPr>
        <w:t xml:space="preserve">uch </w:t>
      </w:r>
      <w:r w:rsidR="00287F05">
        <w:rPr>
          <w:lang w:val="en-US"/>
        </w:rPr>
        <w:t>technologies are</w:t>
      </w:r>
      <w:r w:rsidR="00C40112">
        <w:rPr>
          <w:lang w:val="en-US"/>
        </w:rPr>
        <w:t xml:space="preserve"> still in the nascent stage, they</w:t>
      </w:r>
      <w:r w:rsidR="00537D76" w:rsidRPr="007A29C4">
        <w:rPr>
          <w:lang w:val="en-US"/>
        </w:rPr>
        <w:t xml:space="preserve"> comfortably suffice the </w:t>
      </w:r>
      <w:r w:rsidR="00C40112">
        <w:rPr>
          <w:lang w:val="en-US"/>
        </w:rPr>
        <w:t xml:space="preserve">CDM </w:t>
      </w:r>
      <w:r w:rsidR="00537D76" w:rsidRPr="007A29C4">
        <w:rPr>
          <w:lang w:val="en-US"/>
        </w:rPr>
        <w:t>principles of</w:t>
      </w:r>
      <w:r w:rsidR="00810263" w:rsidRPr="007A29C4">
        <w:rPr>
          <w:lang w:val="en-US"/>
        </w:rPr>
        <w:t xml:space="preserve"> common practice</w:t>
      </w:r>
      <w:r w:rsidR="00A26AB6" w:rsidRPr="007A29C4">
        <w:rPr>
          <w:lang w:val="en-US"/>
        </w:rPr>
        <w:t>, hence should be considered as auto additional</w:t>
      </w:r>
      <w:r w:rsidR="00093716">
        <w:rPr>
          <w:lang w:val="en-US"/>
        </w:rPr>
        <w:t xml:space="preserve"> in case the penetration level of project or technology in regional or national grid is less than 5%</w:t>
      </w:r>
      <w:r w:rsidR="00A26AB6" w:rsidRPr="007A29C4">
        <w:rPr>
          <w:lang w:val="en-US"/>
        </w:rPr>
        <w:t xml:space="preserve">. </w:t>
      </w:r>
    </w:p>
    <w:p w14:paraId="1364CC92" w14:textId="1928EDFD" w:rsidR="00A26AB6" w:rsidRPr="00A26AB6" w:rsidRDefault="00A26AB6" w:rsidP="00BA2B12">
      <w:pPr>
        <w:pStyle w:val="ListParagraph"/>
        <w:numPr>
          <w:ilvl w:val="0"/>
          <w:numId w:val="3"/>
        </w:numPr>
        <w:jc w:val="both"/>
        <w:rPr>
          <w:b/>
          <w:bCs/>
          <w:u w:val="single"/>
          <w:lang w:val="en-US"/>
        </w:rPr>
      </w:pPr>
      <w:r w:rsidRPr="00A26AB6">
        <w:rPr>
          <w:b/>
          <w:bCs/>
          <w:u w:val="single"/>
          <w:lang w:val="en-US"/>
        </w:rPr>
        <w:t>Proposed clause</w:t>
      </w:r>
      <w:r w:rsidR="00BA2B12">
        <w:rPr>
          <w:b/>
          <w:bCs/>
          <w:u w:val="single"/>
          <w:lang w:val="en-US"/>
        </w:rPr>
        <w:t xml:space="preserve"> (5.3.1 31 c Additionality)</w:t>
      </w:r>
    </w:p>
    <w:p w14:paraId="039E46D4" w14:textId="4A5CA91F" w:rsidR="007B7B6F" w:rsidRPr="0029293B" w:rsidRDefault="00F24B69" w:rsidP="00713AE2">
      <w:pPr>
        <w:ind w:left="360"/>
        <w:jc w:val="both"/>
        <w:rPr>
          <w:lang w:val="en-US"/>
        </w:rPr>
      </w:pPr>
      <w:r w:rsidRPr="0029293B">
        <w:rPr>
          <w:lang w:val="en-US"/>
        </w:rPr>
        <w:t xml:space="preserve">Voluntary registries using CDM methodology to demonstrate additionality should </w:t>
      </w:r>
      <w:r w:rsidR="00637F5E" w:rsidRPr="0029293B">
        <w:rPr>
          <w:lang w:val="en-US"/>
        </w:rPr>
        <w:t>consider evaluating</w:t>
      </w:r>
      <w:r w:rsidR="00D26191">
        <w:rPr>
          <w:lang w:val="en-US"/>
        </w:rPr>
        <w:t xml:space="preserve"> each Renewable energy</w:t>
      </w:r>
      <w:r w:rsidR="00637F5E" w:rsidRPr="0029293B">
        <w:rPr>
          <w:lang w:val="en-US"/>
        </w:rPr>
        <w:t xml:space="preserve"> project wise additionality irrespective of any </w:t>
      </w:r>
      <w:r w:rsidR="00D11E98" w:rsidRPr="0029293B">
        <w:rPr>
          <w:lang w:val="en-US"/>
        </w:rPr>
        <w:t xml:space="preserve">geographical limitations, which </w:t>
      </w:r>
      <w:r w:rsidR="008853A5">
        <w:rPr>
          <w:lang w:val="en-US"/>
        </w:rPr>
        <w:t xml:space="preserve">otherwise </w:t>
      </w:r>
      <w:r w:rsidR="00D11E98" w:rsidRPr="0029293B">
        <w:rPr>
          <w:lang w:val="en-US"/>
        </w:rPr>
        <w:t>hinder</w:t>
      </w:r>
      <w:r w:rsidR="007B7B6F" w:rsidRPr="0029293B">
        <w:rPr>
          <w:lang w:val="en-US"/>
        </w:rPr>
        <w:t>s</w:t>
      </w:r>
      <w:r w:rsidR="00D11E98" w:rsidRPr="0029293B">
        <w:rPr>
          <w:lang w:val="en-US"/>
        </w:rPr>
        <w:t xml:space="preserve"> the </w:t>
      </w:r>
      <w:r w:rsidR="007B7B6F" w:rsidRPr="0029293B">
        <w:rPr>
          <w:lang w:val="en-US"/>
        </w:rPr>
        <w:t xml:space="preserve">registration </w:t>
      </w:r>
      <w:r w:rsidR="008853A5">
        <w:rPr>
          <w:lang w:val="en-US"/>
        </w:rPr>
        <w:t xml:space="preserve">of </w:t>
      </w:r>
      <w:r w:rsidR="00815C49">
        <w:rPr>
          <w:lang w:val="en-US"/>
        </w:rPr>
        <w:t>the</w:t>
      </w:r>
      <w:r w:rsidR="00D26191">
        <w:rPr>
          <w:lang w:val="en-US"/>
        </w:rPr>
        <w:t xml:space="preserve"> Renewable energy</w:t>
      </w:r>
      <w:r w:rsidR="0095139E">
        <w:rPr>
          <w:lang w:val="en-US"/>
        </w:rPr>
        <w:t xml:space="preserve"> project</w:t>
      </w:r>
      <w:r w:rsidR="008853A5">
        <w:rPr>
          <w:lang w:val="en-US"/>
        </w:rPr>
        <w:t>s</w:t>
      </w:r>
      <w:r w:rsidR="0095139E">
        <w:rPr>
          <w:lang w:val="en-US"/>
        </w:rPr>
        <w:t xml:space="preserve"> in need</w:t>
      </w:r>
      <w:r w:rsidR="008853A5">
        <w:rPr>
          <w:lang w:val="en-US"/>
        </w:rPr>
        <w:t xml:space="preserve"> of carbon financing</w:t>
      </w:r>
      <w:r w:rsidR="0095139E">
        <w:rPr>
          <w:lang w:val="en-US"/>
        </w:rPr>
        <w:t>.</w:t>
      </w:r>
    </w:p>
    <w:p w14:paraId="5B229CFC" w14:textId="77777777" w:rsidR="00F90177" w:rsidRDefault="00F90177" w:rsidP="00713AE2">
      <w:pPr>
        <w:ind w:left="360"/>
        <w:jc w:val="both"/>
        <w:rPr>
          <w:b/>
          <w:bCs/>
          <w:u w:val="single"/>
          <w:lang w:val="en-US"/>
        </w:rPr>
      </w:pPr>
    </w:p>
    <w:p w14:paraId="02A0448D" w14:textId="77777777" w:rsidR="00F90177" w:rsidRDefault="00F90177" w:rsidP="00713AE2">
      <w:pPr>
        <w:ind w:left="360"/>
        <w:jc w:val="both"/>
        <w:rPr>
          <w:b/>
          <w:bCs/>
          <w:u w:val="single"/>
          <w:lang w:val="en-US"/>
        </w:rPr>
      </w:pPr>
    </w:p>
    <w:p w14:paraId="50006550" w14:textId="59ED609D" w:rsidR="00815C49" w:rsidRPr="00815C49" w:rsidRDefault="00512C98" w:rsidP="00713AE2">
      <w:pPr>
        <w:ind w:left="360"/>
        <w:jc w:val="both"/>
        <w:rPr>
          <w:u w:val="single"/>
          <w:lang w:val="en-US"/>
        </w:rPr>
      </w:pPr>
      <w:r w:rsidRPr="00815C49">
        <w:rPr>
          <w:b/>
          <w:bCs/>
          <w:u w:val="single"/>
          <w:lang w:val="en-US"/>
        </w:rPr>
        <w:t>Rationale</w:t>
      </w:r>
      <w:r w:rsidRPr="00815C49">
        <w:rPr>
          <w:u w:val="single"/>
          <w:lang w:val="en-US"/>
        </w:rPr>
        <w:t xml:space="preserve"> </w:t>
      </w:r>
    </w:p>
    <w:p w14:paraId="218C0FFF" w14:textId="597094F5" w:rsidR="00A00E2A" w:rsidRPr="00D26191" w:rsidRDefault="0047649D" w:rsidP="004964E3">
      <w:pPr>
        <w:pStyle w:val="ListParagraph"/>
        <w:numPr>
          <w:ilvl w:val="0"/>
          <w:numId w:val="5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Tariff &amp; Geopolitical Risks</w:t>
      </w:r>
    </w:p>
    <w:p w14:paraId="0C3B2F78" w14:textId="77777777" w:rsidR="00CF4042" w:rsidRDefault="00CF4042" w:rsidP="00A00E2A">
      <w:pPr>
        <w:pStyle w:val="ListParagraph"/>
        <w:jc w:val="both"/>
        <w:rPr>
          <w:lang w:val="en-US"/>
        </w:rPr>
      </w:pPr>
    </w:p>
    <w:p w14:paraId="289C050F" w14:textId="75A5AF5F" w:rsidR="00D26191" w:rsidRDefault="00E16300" w:rsidP="00C60ADF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~80% of global energy needs are being met with fossil fuels including coal, </w:t>
      </w:r>
      <w:proofErr w:type="gramStart"/>
      <w:r>
        <w:rPr>
          <w:lang w:val="en-US"/>
        </w:rPr>
        <w:t>oil</w:t>
      </w:r>
      <w:proofErr w:type="gramEnd"/>
      <w:r>
        <w:rPr>
          <w:lang w:val="en-US"/>
        </w:rPr>
        <w:t xml:space="preserve"> and natural gas. </w:t>
      </w:r>
      <w:r w:rsidR="0047649D">
        <w:rPr>
          <w:lang w:val="en-US"/>
        </w:rPr>
        <w:t xml:space="preserve">Further, the </w:t>
      </w:r>
      <w:r>
        <w:rPr>
          <w:lang w:val="en-US"/>
        </w:rPr>
        <w:t>best way to decarbonize is</w:t>
      </w:r>
      <w:r w:rsidR="005850AF">
        <w:rPr>
          <w:lang w:val="en-US"/>
        </w:rPr>
        <w:t xml:space="preserve"> to</w:t>
      </w:r>
      <w:r>
        <w:rPr>
          <w:lang w:val="en-US"/>
        </w:rPr>
        <w:t xml:space="preserve"> </w:t>
      </w:r>
      <w:r w:rsidR="005850AF">
        <w:rPr>
          <w:lang w:val="en-US"/>
        </w:rPr>
        <w:t xml:space="preserve">cut down on the source itself and </w:t>
      </w:r>
      <w:r>
        <w:rPr>
          <w:lang w:val="en-US"/>
        </w:rPr>
        <w:t>increase the contribution of renewable energy sources</w:t>
      </w:r>
      <w:r w:rsidR="005850AF">
        <w:rPr>
          <w:lang w:val="en-US"/>
        </w:rPr>
        <w:t xml:space="preserve"> in the overall energy mix</w:t>
      </w:r>
      <w:r>
        <w:rPr>
          <w:lang w:val="en-US"/>
        </w:rPr>
        <w:t>.</w:t>
      </w:r>
      <w:r w:rsidR="005850AF">
        <w:rPr>
          <w:lang w:val="en-US"/>
        </w:rPr>
        <w:t xml:space="preserve"> To achieve the same,</w:t>
      </w:r>
      <w:r>
        <w:rPr>
          <w:lang w:val="en-US"/>
        </w:rPr>
        <w:t xml:space="preserve"> </w:t>
      </w:r>
      <w:r w:rsidR="005850AF">
        <w:rPr>
          <w:lang w:val="en-US"/>
        </w:rPr>
        <w:t>d</w:t>
      </w:r>
      <w:r w:rsidR="00364A12">
        <w:rPr>
          <w:lang w:val="en-US"/>
        </w:rPr>
        <w:t>eveloping countries like India</w:t>
      </w:r>
      <w:r w:rsidR="007A04CC">
        <w:rPr>
          <w:lang w:val="en-US"/>
        </w:rPr>
        <w:t xml:space="preserve"> have set huge targets. Further, the country</w:t>
      </w:r>
      <w:r w:rsidR="00364A12">
        <w:rPr>
          <w:lang w:val="en-US"/>
        </w:rPr>
        <w:t xml:space="preserve"> follow</w:t>
      </w:r>
      <w:r w:rsidR="007A04CC">
        <w:rPr>
          <w:lang w:val="en-US"/>
        </w:rPr>
        <w:t>s</w:t>
      </w:r>
      <w:r w:rsidR="00364A12">
        <w:rPr>
          <w:lang w:val="en-US"/>
        </w:rPr>
        <w:t xml:space="preserve"> the competitive bidding mechanism to discover </w:t>
      </w:r>
      <w:r w:rsidR="000C60F3">
        <w:rPr>
          <w:lang w:val="en-US"/>
        </w:rPr>
        <w:t>lower</w:t>
      </w:r>
      <w:r w:rsidR="00364A12">
        <w:rPr>
          <w:lang w:val="en-US"/>
        </w:rPr>
        <w:t xml:space="preserve"> tariff</w:t>
      </w:r>
      <w:r w:rsidR="000C60F3">
        <w:rPr>
          <w:lang w:val="en-US"/>
        </w:rPr>
        <w:t>s</w:t>
      </w:r>
      <w:r w:rsidR="0047649D">
        <w:rPr>
          <w:lang w:val="en-US"/>
        </w:rPr>
        <w:t xml:space="preserve"> </w:t>
      </w:r>
      <w:r w:rsidR="007A04CC">
        <w:rPr>
          <w:lang w:val="en-US"/>
        </w:rPr>
        <w:t xml:space="preserve">and </w:t>
      </w:r>
      <w:r w:rsidR="0047649D">
        <w:rPr>
          <w:lang w:val="en-US"/>
        </w:rPr>
        <w:t>minimize the overall power purchasing cost</w:t>
      </w:r>
      <w:r w:rsidR="00364A12">
        <w:rPr>
          <w:lang w:val="en-US"/>
        </w:rPr>
        <w:t>.</w:t>
      </w:r>
      <w:r w:rsidR="000C60F3">
        <w:rPr>
          <w:lang w:val="en-US"/>
        </w:rPr>
        <w:t xml:space="preserve"> However,</w:t>
      </w:r>
      <w:r w:rsidR="007A04CC">
        <w:rPr>
          <w:lang w:val="en-US"/>
        </w:rPr>
        <w:t xml:space="preserve"> certain challenges have been seen at the</w:t>
      </w:r>
      <w:r w:rsidR="000C60F3">
        <w:rPr>
          <w:lang w:val="en-US"/>
        </w:rPr>
        <w:t xml:space="preserve"> RE developer</w:t>
      </w:r>
      <w:r w:rsidR="007A04CC">
        <w:rPr>
          <w:lang w:val="en-US"/>
        </w:rPr>
        <w:t xml:space="preserve"> end, which</w:t>
      </w:r>
      <w:r w:rsidR="000C60F3">
        <w:rPr>
          <w:lang w:val="en-US"/>
        </w:rPr>
        <w:t xml:space="preserve"> lay on certain assumptions including </w:t>
      </w:r>
      <w:r w:rsidR="00364A12">
        <w:rPr>
          <w:lang w:val="en-US"/>
        </w:rPr>
        <w:t xml:space="preserve">input costs </w:t>
      </w:r>
      <w:r w:rsidR="000C60F3">
        <w:rPr>
          <w:lang w:val="en-US"/>
        </w:rPr>
        <w:t xml:space="preserve">of key </w:t>
      </w:r>
      <w:proofErr w:type="spellStart"/>
      <w:r w:rsidR="000C60F3">
        <w:rPr>
          <w:lang w:val="en-US"/>
        </w:rPr>
        <w:t>equipments</w:t>
      </w:r>
      <w:proofErr w:type="spellEnd"/>
      <w:r w:rsidR="000C60F3">
        <w:rPr>
          <w:lang w:val="en-US"/>
        </w:rPr>
        <w:t xml:space="preserve"> like</w:t>
      </w:r>
      <w:r w:rsidR="00364A12">
        <w:rPr>
          <w:lang w:val="en-US"/>
        </w:rPr>
        <w:t xml:space="preserve"> module</w:t>
      </w:r>
      <w:r w:rsidR="00FB2244">
        <w:rPr>
          <w:lang w:val="en-US"/>
        </w:rPr>
        <w:t>s,</w:t>
      </w:r>
      <w:r w:rsidR="000C60F3">
        <w:rPr>
          <w:lang w:val="en-US"/>
        </w:rPr>
        <w:t xml:space="preserve"> </w:t>
      </w:r>
      <w:r w:rsidR="00FB2244">
        <w:rPr>
          <w:lang w:val="en-US"/>
        </w:rPr>
        <w:t>steel</w:t>
      </w:r>
      <w:r w:rsidR="000C60F3">
        <w:rPr>
          <w:lang w:val="en-US"/>
        </w:rPr>
        <w:t xml:space="preserve">, electrical </w:t>
      </w:r>
      <w:proofErr w:type="spellStart"/>
      <w:r w:rsidR="000C60F3">
        <w:rPr>
          <w:lang w:val="en-US"/>
        </w:rPr>
        <w:t>equipments</w:t>
      </w:r>
      <w:proofErr w:type="spellEnd"/>
      <w:r w:rsidR="00364A12">
        <w:rPr>
          <w:lang w:val="en-US"/>
        </w:rPr>
        <w:t xml:space="preserve"> </w:t>
      </w:r>
      <w:proofErr w:type="spellStart"/>
      <w:r w:rsidR="00FB2244">
        <w:rPr>
          <w:lang w:val="en-US"/>
        </w:rPr>
        <w:t>etc</w:t>
      </w:r>
      <w:proofErr w:type="spellEnd"/>
      <w:r w:rsidR="00364A12">
        <w:rPr>
          <w:lang w:val="en-US"/>
        </w:rPr>
        <w:t xml:space="preserve"> </w:t>
      </w:r>
      <w:r w:rsidR="007A04CC">
        <w:rPr>
          <w:lang w:val="en-US"/>
        </w:rPr>
        <w:t>that</w:t>
      </w:r>
      <w:r w:rsidR="00364A12">
        <w:rPr>
          <w:lang w:val="en-US"/>
        </w:rPr>
        <w:t xml:space="preserve"> are largely governed by </w:t>
      </w:r>
      <w:proofErr w:type="gramStart"/>
      <w:r w:rsidR="00364A12">
        <w:rPr>
          <w:lang w:val="en-US"/>
        </w:rPr>
        <w:t>International</w:t>
      </w:r>
      <w:proofErr w:type="gramEnd"/>
      <w:r w:rsidR="00364A12">
        <w:rPr>
          <w:lang w:val="en-US"/>
        </w:rPr>
        <w:t xml:space="preserve"> commodity prices.</w:t>
      </w:r>
      <w:r w:rsidR="00807BB3">
        <w:rPr>
          <w:lang w:val="en-US"/>
        </w:rPr>
        <w:t xml:space="preserve"> </w:t>
      </w:r>
      <w:r w:rsidR="00CF4042">
        <w:rPr>
          <w:lang w:val="en-US"/>
        </w:rPr>
        <w:t>In the recent past due to geopolitical uncertainty several developers have taken into c</w:t>
      </w:r>
      <w:r w:rsidR="00807BB3">
        <w:rPr>
          <w:lang w:val="en-US"/>
        </w:rPr>
        <w:t>onside</w:t>
      </w:r>
      <w:r w:rsidR="00CF4042">
        <w:rPr>
          <w:lang w:val="en-US"/>
        </w:rPr>
        <w:t>ration</w:t>
      </w:r>
      <w:r w:rsidR="00807BB3">
        <w:rPr>
          <w:lang w:val="en-US"/>
        </w:rPr>
        <w:t xml:space="preserve"> carbon credit revenues, for making the projects </w:t>
      </w:r>
      <w:r w:rsidR="00CF4042">
        <w:rPr>
          <w:lang w:val="en-US"/>
        </w:rPr>
        <w:t xml:space="preserve">financially </w:t>
      </w:r>
      <w:r w:rsidR="00807BB3">
        <w:rPr>
          <w:lang w:val="en-US"/>
        </w:rPr>
        <w:t>viable.</w:t>
      </w:r>
      <w:r w:rsidR="00CF4042">
        <w:rPr>
          <w:lang w:val="en-US"/>
        </w:rPr>
        <w:t xml:space="preserve"> However, many voluntary registries have stopped accepting</w:t>
      </w:r>
      <w:r w:rsidR="007A04CC">
        <w:rPr>
          <w:lang w:val="en-US"/>
        </w:rPr>
        <w:t xml:space="preserve"> such</w:t>
      </w:r>
      <w:r w:rsidR="00CF4042">
        <w:rPr>
          <w:lang w:val="en-US"/>
        </w:rPr>
        <w:t xml:space="preserve"> projects by setting</w:t>
      </w:r>
      <w:r w:rsidR="007A04CC">
        <w:rPr>
          <w:lang w:val="en-US"/>
        </w:rPr>
        <w:t xml:space="preserve"> up</w:t>
      </w:r>
      <w:r w:rsidR="00CF4042">
        <w:rPr>
          <w:lang w:val="en-US"/>
        </w:rPr>
        <w:t xml:space="preserve"> geographical limitations. This had completely risked such projects, which had been established for </w:t>
      </w:r>
      <w:r>
        <w:rPr>
          <w:lang w:val="en-US"/>
        </w:rPr>
        <w:t xml:space="preserve">goal of </w:t>
      </w:r>
      <w:proofErr w:type="gramStart"/>
      <w:r>
        <w:rPr>
          <w:lang w:val="en-US"/>
        </w:rPr>
        <w:t>decarbonization</w:t>
      </w:r>
      <w:proofErr w:type="gramEnd"/>
    </w:p>
    <w:p w14:paraId="00ACE571" w14:textId="77777777" w:rsidR="00C60ADF" w:rsidRPr="00C60ADF" w:rsidRDefault="00C60ADF" w:rsidP="00D26191">
      <w:pPr>
        <w:pStyle w:val="ListParagraph"/>
        <w:jc w:val="both"/>
        <w:rPr>
          <w:lang w:val="en-US"/>
        </w:rPr>
      </w:pPr>
    </w:p>
    <w:p w14:paraId="3367CC56" w14:textId="7045C3E0" w:rsidR="00A00E2A" w:rsidRPr="00D26191" w:rsidRDefault="0047649D" w:rsidP="004964E3">
      <w:pPr>
        <w:pStyle w:val="ListParagraph"/>
        <w:numPr>
          <w:ilvl w:val="0"/>
          <w:numId w:val="5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Climate Risk</w:t>
      </w:r>
    </w:p>
    <w:p w14:paraId="7493639C" w14:textId="77777777" w:rsidR="00A00E2A" w:rsidRDefault="00A00E2A" w:rsidP="00A00E2A">
      <w:pPr>
        <w:pStyle w:val="ListParagraph"/>
        <w:jc w:val="both"/>
        <w:rPr>
          <w:lang w:val="en-US"/>
        </w:rPr>
      </w:pPr>
    </w:p>
    <w:p w14:paraId="308E1313" w14:textId="7BF07C5B" w:rsidR="00C60ADF" w:rsidRPr="00E16300" w:rsidRDefault="00CE776D" w:rsidP="00D26191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In </w:t>
      </w:r>
      <w:r w:rsidR="00AF4A8B" w:rsidRPr="004964E3">
        <w:rPr>
          <w:lang w:val="en-US"/>
        </w:rPr>
        <w:t xml:space="preserve">tropical </w:t>
      </w:r>
      <w:r>
        <w:rPr>
          <w:lang w:val="en-US"/>
        </w:rPr>
        <w:t>geographies</w:t>
      </w:r>
      <w:r w:rsidR="00AF4A8B" w:rsidRPr="004964E3">
        <w:rPr>
          <w:lang w:val="en-US"/>
        </w:rPr>
        <w:t xml:space="preserve"> like India,</w:t>
      </w:r>
      <w:r w:rsidR="006E48B0" w:rsidRPr="004964E3">
        <w:rPr>
          <w:lang w:val="en-US"/>
        </w:rPr>
        <w:t xml:space="preserve"> </w:t>
      </w:r>
      <w:r w:rsidR="00350D91" w:rsidRPr="004964E3">
        <w:rPr>
          <w:lang w:val="en-US"/>
        </w:rPr>
        <w:t xml:space="preserve">the </w:t>
      </w:r>
      <w:r w:rsidR="00AF4A8B" w:rsidRPr="004964E3">
        <w:rPr>
          <w:lang w:val="en-US"/>
        </w:rPr>
        <w:t xml:space="preserve">increasing </w:t>
      </w:r>
      <w:r w:rsidR="00350D91" w:rsidRPr="004964E3">
        <w:rPr>
          <w:lang w:val="en-US"/>
        </w:rPr>
        <w:t xml:space="preserve">seasonal </w:t>
      </w:r>
      <w:r w:rsidR="00AF4A8B" w:rsidRPr="004964E3">
        <w:rPr>
          <w:lang w:val="en-US"/>
        </w:rPr>
        <w:t>variations</w:t>
      </w:r>
      <w:r w:rsidR="00350D91" w:rsidRPr="004964E3">
        <w:rPr>
          <w:lang w:val="en-US"/>
        </w:rPr>
        <w:t xml:space="preserve"> have spiked the overall</w:t>
      </w:r>
      <w:r>
        <w:rPr>
          <w:lang w:val="en-US"/>
        </w:rPr>
        <w:t xml:space="preserve"> project</w:t>
      </w:r>
      <w:r w:rsidR="00350D91" w:rsidRPr="004964E3">
        <w:rPr>
          <w:lang w:val="en-US"/>
        </w:rPr>
        <w:t xml:space="preserve"> life cycle costs</w:t>
      </w:r>
      <w:r w:rsidR="005850AF">
        <w:rPr>
          <w:lang w:val="en-US"/>
        </w:rPr>
        <w:t xml:space="preserve"> by 1.1-1.3 times</w:t>
      </w:r>
      <w:r w:rsidR="00350D91" w:rsidRPr="004964E3">
        <w:rPr>
          <w:lang w:val="en-US"/>
        </w:rPr>
        <w:t xml:space="preserve">, leading to thinning </w:t>
      </w:r>
      <w:proofErr w:type="gramStart"/>
      <w:r w:rsidR="00350D91" w:rsidRPr="004964E3">
        <w:rPr>
          <w:lang w:val="en-US"/>
        </w:rPr>
        <w:t>IRR’s</w:t>
      </w:r>
      <w:proofErr w:type="gramEnd"/>
      <w:r w:rsidR="00C46FF1">
        <w:rPr>
          <w:lang w:val="en-US"/>
        </w:rPr>
        <w:t xml:space="preserve"> </w:t>
      </w:r>
      <w:r w:rsidR="00A00E2A" w:rsidRPr="004964E3">
        <w:rPr>
          <w:lang w:val="en-US"/>
        </w:rPr>
        <w:t>against</w:t>
      </w:r>
      <w:r w:rsidR="00A00E2A">
        <w:rPr>
          <w:lang w:val="en-US"/>
        </w:rPr>
        <w:t xml:space="preserve"> the one</w:t>
      </w:r>
      <w:r w:rsidR="00A00E2A" w:rsidRPr="004964E3">
        <w:rPr>
          <w:lang w:val="en-US"/>
        </w:rPr>
        <w:t xml:space="preserve"> aspired during the project conceptualization</w:t>
      </w:r>
      <w:r w:rsidR="00A00E2A">
        <w:rPr>
          <w:lang w:val="en-US"/>
        </w:rPr>
        <w:t xml:space="preserve"> </w:t>
      </w:r>
      <w:r w:rsidR="00C46FF1">
        <w:rPr>
          <w:lang w:val="en-US"/>
        </w:rPr>
        <w:t>for several</w:t>
      </w:r>
      <w:r w:rsidR="00774EBF">
        <w:rPr>
          <w:lang w:val="en-US"/>
        </w:rPr>
        <w:t xml:space="preserve"> large scale RE</w:t>
      </w:r>
      <w:r w:rsidR="00C46FF1">
        <w:rPr>
          <w:lang w:val="en-US"/>
        </w:rPr>
        <w:t xml:space="preserve"> projects</w:t>
      </w:r>
      <w:r w:rsidR="005850AF">
        <w:rPr>
          <w:lang w:val="en-US"/>
        </w:rPr>
        <w:t xml:space="preserve"> in India</w:t>
      </w:r>
      <w:r w:rsidR="00A00E2A">
        <w:rPr>
          <w:lang w:val="en-US"/>
        </w:rPr>
        <w:t>.</w:t>
      </w:r>
      <w:r w:rsidR="005850AF">
        <w:rPr>
          <w:lang w:val="en-US"/>
        </w:rPr>
        <w:t xml:space="preserve">  Such conditions have now become very frequent</w:t>
      </w:r>
      <w:r w:rsidR="0047649D">
        <w:rPr>
          <w:lang w:val="en-US"/>
        </w:rPr>
        <w:t xml:space="preserve"> in recent past</w:t>
      </w:r>
      <w:r w:rsidR="005850AF">
        <w:rPr>
          <w:lang w:val="en-US"/>
        </w:rPr>
        <w:t xml:space="preserve"> and </w:t>
      </w:r>
      <w:r w:rsidR="0047649D">
        <w:rPr>
          <w:lang w:val="en-US"/>
        </w:rPr>
        <w:t xml:space="preserve">had </w:t>
      </w:r>
      <w:r w:rsidR="005850AF">
        <w:rPr>
          <w:lang w:val="en-US"/>
        </w:rPr>
        <w:t xml:space="preserve">almost </w:t>
      </w:r>
      <w:r w:rsidR="0047649D">
        <w:rPr>
          <w:lang w:val="en-US"/>
        </w:rPr>
        <w:t>impacted</w:t>
      </w:r>
      <w:r w:rsidR="005850AF">
        <w:rPr>
          <w:lang w:val="en-US"/>
        </w:rPr>
        <w:t xml:space="preserve"> </w:t>
      </w:r>
      <w:r w:rsidR="0047649D">
        <w:rPr>
          <w:lang w:val="en-US"/>
        </w:rPr>
        <w:t xml:space="preserve">every </w:t>
      </w:r>
      <w:r w:rsidR="005850AF">
        <w:rPr>
          <w:lang w:val="en-US"/>
        </w:rPr>
        <w:t xml:space="preserve">Renewable energy project </w:t>
      </w:r>
      <w:r w:rsidR="0047649D">
        <w:rPr>
          <w:lang w:val="en-US"/>
        </w:rPr>
        <w:t>in</w:t>
      </w:r>
      <w:r w:rsidR="005850AF">
        <w:rPr>
          <w:lang w:val="en-US"/>
        </w:rPr>
        <w:t xml:space="preserve"> India. </w:t>
      </w:r>
      <w:r w:rsidR="001676E2">
        <w:rPr>
          <w:lang w:val="en-US"/>
        </w:rPr>
        <w:t xml:space="preserve"> </w:t>
      </w:r>
    </w:p>
    <w:p w14:paraId="04366EA7" w14:textId="77777777" w:rsidR="003D4037" w:rsidRPr="000C087B" w:rsidRDefault="003D4037" w:rsidP="00D26191">
      <w:pPr>
        <w:jc w:val="both"/>
        <w:rPr>
          <w:lang w:val="en-US"/>
        </w:rPr>
      </w:pPr>
    </w:p>
    <w:p w14:paraId="0A19130F" w14:textId="065F5FF0" w:rsidR="005850AF" w:rsidRDefault="000C087B" w:rsidP="000C087B">
      <w:pPr>
        <w:ind w:left="720"/>
        <w:jc w:val="both"/>
        <w:rPr>
          <w:lang w:val="en-US"/>
        </w:rPr>
      </w:pPr>
      <w:r>
        <w:rPr>
          <w:lang w:val="en-US"/>
        </w:rPr>
        <w:t>Further,</w:t>
      </w:r>
      <w:r w:rsidR="005850AF">
        <w:rPr>
          <w:lang w:val="en-US"/>
        </w:rPr>
        <w:t xml:space="preserve"> such conditions have challenged the RE project developers and set</w:t>
      </w:r>
      <w:r w:rsidR="0047649D">
        <w:rPr>
          <w:lang w:val="en-US"/>
        </w:rPr>
        <w:t xml:space="preserve"> them in</w:t>
      </w:r>
      <w:r w:rsidR="005850AF">
        <w:rPr>
          <w:lang w:val="en-US"/>
        </w:rPr>
        <w:t xml:space="preserve"> a </w:t>
      </w:r>
      <w:r w:rsidR="0047649D">
        <w:rPr>
          <w:lang w:val="en-US"/>
        </w:rPr>
        <w:t>dilemma</w:t>
      </w:r>
      <w:r w:rsidR="005850AF">
        <w:rPr>
          <w:lang w:val="en-US"/>
        </w:rPr>
        <w:t xml:space="preserve"> to </w:t>
      </w:r>
      <w:r w:rsidR="007A04CC">
        <w:rPr>
          <w:lang w:val="en-US"/>
        </w:rPr>
        <w:t>add further</w:t>
      </w:r>
      <w:r w:rsidR="0047649D">
        <w:rPr>
          <w:lang w:val="en-US"/>
        </w:rPr>
        <w:t xml:space="preserve"> </w:t>
      </w:r>
      <w:r w:rsidR="005850AF">
        <w:rPr>
          <w:lang w:val="en-US"/>
        </w:rPr>
        <w:t xml:space="preserve">projects. </w:t>
      </w:r>
    </w:p>
    <w:p w14:paraId="241E7541" w14:textId="378E76BA" w:rsidR="000C087B" w:rsidRDefault="005850AF" w:rsidP="00D26191">
      <w:pPr>
        <w:ind w:left="720"/>
        <w:jc w:val="both"/>
        <w:rPr>
          <w:lang w:val="en-US"/>
        </w:rPr>
      </w:pPr>
      <w:r>
        <w:rPr>
          <w:lang w:val="en-US"/>
        </w:rPr>
        <w:t>While it is</w:t>
      </w:r>
      <w:r w:rsidR="007A04CC">
        <w:rPr>
          <w:lang w:val="en-US"/>
        </w:rPr>
        <w:t xml:space="preserve"> </w:t>
      </w:r>
      <w:r>
        <w:rPr>
          <w:lang w:val="en-US"/>
        </w:rPr>
        <w:t>acknowledged</w:t>
      </w:r>
      <w:r w:rsidR="007A04CC">
        <w:rPr>
          <w:lang w:val="en-US"/>
        </w:rPr>
        <w:t xml:space="preserve"> globally</w:t>
      </w:r>
      <w:r>
        <w:rPr>
          <w:lang w:val="en-US"/>
        </w:rPr>
        <w:t xml:space="preserve"> that</w:t>
      </w:r>
      <w:r w:rsidR="002E332D">
        <w:rPr>
          <w:lang w:val="en-US"/>
        </w:rPr>
        <w:t>,</w:t>
      </w:r>
      <w:r>
        <w:rPr>
          <w:lang w:val="en-US"/>
        </w:rPr>
        <w:t xml:space="preserve"> </w:t>
      </w:r>
      <w:r w:rsidR="000F6D0A">
        <w:rPr>
          <w:lang w:val="en-US"/>
        </w:rPr>
        <w:t>the only</w:t>
      </w:r>
      <w:r>
        <w:rPr>
          <w:lang w:val="en-US"/>
        </w:rPr>
        <w:t xml:space="preserve"> </w:t>
      </w:r>
      <w:r w:rsidR="000C087B">
        <w:rPr>
          <w:lang w:val="en-US"/>
        </w:rPr>
        <w:t xml:space="preserve">faster way to decarbonize </w:t>
      </w:r>
      <w:r>
        <w:rPr>
          <w:lang w:val="en-US"/>
        </w:rPr>
        <w:t xml:space="preserve">is to increase the share of </w:t>
      </w:r>
      <w:r w:rsidR="000C087B">
        <w:rPr>
          <w:lang w:val="en-US"/>
        </w:rPr>
        <w:t>renewable energy source</w:t>
      </w:r>
      <w:r>
        <w:rPr>
          <w:lang w:val="en-US"/>
        </w:rPr>
        <w:t>s in the overall energy mix</w:t>
      </w:r>
      <w:r w:rsidR="000C087B">
        <w:rPr>
          <w:lang w:val="en-US"/>
        </w:rPr>
        <w:t>.</w:t>
      </w:r>
      <w:r w:rsidR="000C60F3">
        <w:rPr>
          <w:lang w:val="en-US"/>
        </w:rPr>
        <w:t xml:space="preserve"> </w:t>
      </w:r>
      <w:r w:rsidR="007A04CC">
        <w:rPr>
          <w:lang w:val="en-US"/>
        </w:rPr>
        <w:t xml:space="preserve">It further needs to be acknowledged that faster addition of such project could only be possible with sustainable carbon financing through global Compliance/voluntary carbon markets. Historically it is seen </w:t>
      </w:r>
      <w:r w:rsidR="002E332D">
        <w:rPr>
          <w:lang w:val="en-US"/>
        </w:rPr>
        <w:t>that</w:t>
      </w:r>
      <w:r w:rsidR="007A04CC">
        <w:rPr>
          <w:lang w:val="en-US"/>
        </w:rPr>
        <w:t xml:space="preserve"> only </w:t>
      </w:r>
      <w:r w:rsidR="0047649D">
        <w:rPr>
          <w:lang w:val="en-US"/>
        </w:rPr>
        <w:t>RE projects qualifies as</w:t>
      </w:r>
      <w:r>
        <w:rPr>
          <w:lang w:val="en-US"/>
        </w:rPr>
        <w:t xml:space="preserve"> </w:t>
      </w:r>
      <w:r w:rsidR="00E16300">
        <w:rPr>
          <w:lang w:val="en-US"/>
        </w:rPr>
        <w:t>measurable</w:t>
      </w:r>
      <w:r w:rsidR="0047649D">
        <w:rPr>
          <w:lang w:val="en-US"/>
        </w:rPr>
        <w:t xml:space="preserve"> </w:t>
      </w:r>
      <w:r w:rsidR="007A04CC">
        <w:rPr>
          <w:lang w:val="en-US"/>
        </w:rPr>
        <w:t>through</w:t>
      </w:r>
      <w:r w:rsidR="003111B6">
        <w:rPr>
          <w:lang w:val="en-US"/>
        </w:rPr>
        <w:t xml:space="preserve"> well</w:t>
      </w:r>
      <w:r w:rsidR="0047649D">
        <w:rPr>
          <w:lang w:val="en-US"/>
        </w:rPr>
        <w:t xml:space="preserve"> metered</w:t>
      </w:r>
      <w:r w:rsidR="00E16300">
        <w:rPr>
          <w:lang w:val="en-US"/>
        </w:rPr>
        <w:t xml:space="preserve"> source</w:t>
      </w:r>
      <w:r w:rsidR="0047649D">
        <w:rPr>
          <w:lang w:val="en-US"/>
        </w:rPr>
        <w:t xml:space="preserve"> (with sound MRV systems). Hence,</w:t>
      </w:r>
      <w:r w:rsidR="000C087B">
        <w:rPr>
          <w:lang w:val="en-US"/>
        </w:rPr>
        <w:t xml:space="preserve"> </w:t>
      </w:r>
      <w:r w:rsidR="00E16300">
        <w:rPr>
          <w:lang w:val="en-US"/>
        </w:rPr>
        <w:t xml:space="preserve">such </w:t>
      </w:r>
      <w:proofErr w:type="gramStart"/>
      <w:r w:rsidR="00E16300">
        <w:rPr>
          <w:lang w:val="en-US"/>
        </w:rPr>
        <w:t>a</w:t>
      </w:r>
      <w:r w:rsidR="007A04CC">
        <w:rPr>
          <w:lang w:val="en-US"/>
        </w:rPr>
        <w:t xml:space="preserve"> </w:t>
      </w:r>
      <w:r w:rsidR="00E16300">
        <w:rPr>
          <w:lang w:val="en-US"/>
        </w:rPr>
        <w:t>technology</w:t>
      </w:r>
      <w:proofErr w:type="gramEnd"/>
      <w:r w:rsidR="000F6D0A">
        <w:rPr>
          <w:lang w:val="en-US"/>
        </w:rPr>
        <w:t xml:space="preserve"> is a reliable decarbonization source and</w:t>
      </w:r>
      <w:r w:rsidR="00E16300">
        <w:rPr>
          <w:lang w:val="en-US"/>
        </w:rPr>
        <w:t xml:space="preserve"> needs</w:t>
      </w:r>
      <w:r w:rsidR="007A04CC">
        <w:rPr>
          <w:lang w:val="en-US"/>
        </w:rPr>
        <w:t xml:space="preserve"> immense</w:t>
      </w:r>
      <w:r w:rsidR="00E16300">
        <w:rPr>
          <w:lang w:val="en-US"/>
        </w:rPr>
        <w:t xml:space="preserve"> push</w:t>
      </w:r>
      <w:r w:rsidR="007A04CC">
        <w:rPr>
          <w:lang w:val="en-US"/>
        </w:rPr>
        <w:t xml:space="preserve"> on carbon financing </w:t>
      </w:r>
      <w:proofErr w:type="gramStart"/>
      <w:r w:rsidR="003111B6">
        <w:rPr>
          <w:lang w:val="en-US"/>
        </w:rPr>
        <w:t>front</w:t>
      </w:r>
      <w:r w:rsidR="007A04CC">
        <w:rPr>
          <w:lang w:val="en-US"/>
        </w:rPr>
        <w:t xml:space="preserve">, </w:t>
      </w:r>
      <w:r w:rsidR="00E16300">
        <w:rPr>
          <w:lang w:val="en-US"/>
        </w:rPr>
        <w:t xml:space="preserve"> irrespective</w:t>
      </w:r>
      <w:proofErr w:type="gramEnd"/>
      <w:r w:rsidR="00E16300">
        <w:rPr>
          <w:lang w:val="en-US"/>
        </w:rPr>
        <w:t xml:space="preserve"> of </w:t>
      </w:r>
      <w:r w:rsidR="003111B6">
        <w:rPr>
          <w:lang w:val="en-US"/>
        </w:rPr>
        <w:t>any</w:t>
      </w:r>
      <w:r w:rsidR="00E16300">
        <w:rPr>
          <w:lang w:val="en-US"/>
        </w:rPr>
        <w:t xml:space="preserve"> geographical limitation</w:t>
      </w:r>
      <w:r w:rsidR="000F6D0A">
        <w:rPr>
          <w:lang w:val="en-US"/>
        </w:rPr>
        <w:t xml:space="preserve">. </w:t>
      </w:r>
      <w:r w:rsidR="00E16300">
        <w:rPr>
          <w:lang w:val="en-US"/>
        </w:rPr>
        <w:t xml:space="preserve"> </w:t>
      </w:r>
      <w:r w:rsidR="000F6D0A">
        <w:rPr>
          <w:lang w:val="en-US"/>
        </w:rPr>
        <w:t xml:space="preserve">As the whole </w:t>
      </w:r>
      <w:r w:rsidR="000C60F3">
        <w:rPr>
          <w:lang w:val="en-US"/>
        </w:rPr>
        <w:t>nature</w:t>
      </w:r>
      <w:r w:rsidR="000C087B">
        <w:rPr>
          <w:lang w:val="en-US"/>
        </w:rPr>
        <w:t xml:space="preserve"> </w:t>
      </w:r>
      <w:r w:rsidR="000F6D0A">
        <w:rPr>
          <w:lang w:val="en-US"/>
        </w:rPr>
        <w:t>is</w:t>
      </w:r>
      <w:r w:rsidR="000C087B">
        <w:rPr>
          <w:lang w:val="en-US"/>
        </w:rPr>
        <w:t xml:space="preserve"> one grid, </w:t>
      </w:r>
      <w:r w:rsidR="000F6D0A">
        <w:rPr>
          <w:lang w:val="en-US"/>
        </w:rPr>
        <w:t>the</w:t>
      </w:r>
      <w:r w:rsidR="000C087B">
        <w:rPr>
          <w:lang w:val="en-US"/>
        </w:rPr>
        <w:t xml:space="preserve"> decarbonization in a particular geography impacts </w:t>
      </w:r>
      <w:proofErr w:type="gramStart"/>
      <w:r w:rsidR="000C087B">
        <w:rPr>
          <w:lang w:val="en-US"/>
        </w:rPr>
        <w:t>the nature</w:t>
      </w:r>
      <w:proofErr w:type="gramEnd"/>
      <w:r w:rsidR="000C087B">
        <w:rPr>
          <w:lang w:val="en-US"/>
        </w:rPr>
        <w:t xml:space="preserve"> as a whole</w:t>
      </w:r>
      <w:r w:rsidR="007A04CC">
        <w:rPr>
          <w:lang w:val="en-US"/>
        </w:rPr>
        <w:t xml:space="preserve"> and helps in </w:t>
      </w:r>
      <w:r w:rsidR="000F6D0A">
        <w:rPr>
          <w:lang w:val="en-US"/>
        </w:rPr>
        <w:t>limiting</w:t>
      </w:r>
      <w:r w:rsidR="007A04CC">
        <w:rPr>
          <w:lang w:val="en-US"/>
        </w:rPr>
        <w:t xml:space="preserve"> overall</w:t>
      </w:r>
      <w:r w:rsidR="000C087B">
        <w:rPr>
          <w:lang w:val="en-US"/>
        </w:rPr>
        <w:t xml:space="preserve"> global temperature to </w:t>
      </w:r>
      <w:r w:rsidR="000C60F3">
        <w:rPr>
          <w:lang w:val="en-US"/>
        </w:rPr>
        <w:t>desir</w:t>
      </w:r>
      <w:r w:rsidR="000F6D0A">
        <w:rPr>
          <w:lang w:val="en-US"/>
        </w:rPr>
        <w:t>ed</w:t>
      </w:r>
      <w:r w:rsidR="000C60F3">
        <w:rPr>
          <w:lang w:val="en-US"/>
        </w:rPr>
        <w:t xml:space="preserve"> levels</w:t>
      </w:r>
      <w:r w:rsidR="000C087B">
        <w:rPr>
          <w:lang w:val="en-US"/>
        </w:rPr>
        <w:t xml:space="preserve">. </w:t>
      </w:r>
    </w:p>
    <w:p w14:paraId="52865F3F" w14:textId="18EBEB93" w:rsidR="00D26191" w:rsidRDefault="000C60F3">
      <w:pPr>
        <w:ind w:left="720"/>
        <w:jc w:val="both"/>
        <w:rPr>
          <w:lang w:val="en-US"/>
        </w:rPr>
      </w:pPr>
      <w:r>
        <w:rPr>
          <w:lang w:val="en-US"/>
        </w:rPr>
        <w:t xml:space="preserve">Considering </w:t>
      </w:r>
      <w:proofErr w:type="gramStart"/>
      <w:r>
        <w:rPr>
          <w:lang w:val="en-US"/>
        </w:rPr>
        <w:t>above</w:t>
      </w:r>
      <w:proofErr w:type="gramEnd"/>
      <w:r>
        <w:rPr>
          <w:lang w:val="en-US"/>
        </w:rPr>
        <w:t>, n</w:t>
      </w:r>
      <w:r w:rsidR="000C087B">
        <w:rPr>
          <w:lang w:val="en-US"/>
        </w:rPr>
        <w:t xml:space="preserve">ecessary </w:t>
      </w:r>
      <w:r w:rsidR="002E332D">
        <w:rPr>
          <w:lang w:val="en-US"/>
        </w:rPr>
        <w:t>directions</w:t>
      </w:r>
      <w:r w:rsidR="000C087B">
        <w:rPr>
          <w:lang w:val="en-US"/>
        </w:rPr>
        <w:t xml:space="preserve"> be </w:t>
      </w:r>
      <w:r w:rsidR="002E332D">
        <w:rPr>
          <w:lang w:val="en-US"/>
        </w:rPr>
        <w:t>given</w:t>
      </w:r>
      <w:r w:rsidR="000C087B">
        <w:rPr>
          <w:lang w:val="en-US"/>
        </w:rPr>
        <w:t xml:space="preserve"> to evaluate each project separately</w:t>
      </w:r>
      <w:r>
        <w:rPr>
          <w:lang w:val="en-US"/>
        </w:rPr>
        <w:t>,</w:t>
      </w:r>
      <w:r w:rsidR="000C087B">
        <w:rPr>
          <w:lang w:val="en-US"/>
        </w:rPr>
        <w:t xml:space="preserve"> irrespective of any geographical limitations. </w:t>
      </w:r>
    </w:p>
    <w:p w14:paraId="1333D67E" w14:textId="122C8F69" w:rsidR="00287F05" w:rsidRDefault="00287F05" w:rsidP="00D26191">
      <w:pPr>
        <w:ind w:left="720"/>
        <w:jc w:val="both"/>
        <w:rPr>
          <w:lang w:val="en-US"/>
        </w:rPr>
      </w:pPr>
      <w:r>
        <w:rPr>
          <w:lang w:val="en-US"/>
        </w:rPr>
        <w:t>Data and parameters monitored. (Clause 6.1)</w:t>
      </w:r>
    </w:p>
    <w:p w14:paraId="1D1CC4A8" w14:textId="1AE53C17" w:rsidR="00287F05" w:rsidRPr="00D26191" w:rsidRDefault="00287F05" w:rsidP="00D26191">
      <w:pPr>
        <w:ind w:left="720"/>
        <w:jc w:val="both"/>
        <w:rPr>
          <w:b/>
          <w:bCs/>
          <w:lang w:val="en-US"/>
        </w:rPr>
      </w:pPr>
      <w:r w:rsidRPr="00D26191">
        <w:rPr>
          <w:b/>
          <w:bCs/>
          <w:lang w:val="en-US"/>
        </w:rPr>
        <w:t>Parameter table 15</w:t>
      </w:r>
    </w:p>
    <w:tbl>
      <w:tblPr>
        <w:tblStyle w:val="SDMMethTableDataParameter"/>
        <w:tblW w:w="8736" w:type="dxa"/>
        <w:tblInd w:w="704" w:type="dxa"/>
        <w:tblLayout w:type="fixed"/>
        <w:tblLook w:val="01E0" w:firstRow="1" w:lastRow="1" w:firstColumn="1" w:lastColumn="1" w:noHBand="0" w:noVBand="0"/>
      </w:tblPr>
      <w:tblGrid>
        <w:gridCol w:w="2350"/>
        <w:gridCol w:w="6386"/>
      </w:tblGrid>
      <w:tr w:rsidR="00287F05" w:rsidRPr="00863D93" w14:paraId="5DF8777B" w14:textId="77777777" w:rsidTr="00137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16AEDEDF" w14:textId="77777777" w:rsidR="00287F05" w:rsidRPr="00863D93" w:rsidRDefault="00287F05" w:rsidP="00137ED2">
            <w:pPr>
              <w:pStyle w:val="SDMTableBoxParaNotNumbered"/>
              <w:jc w:val="both"/>
              <w:rPr>
                <w:rFonts w:cs="Arial"/>
              </w:rPr>
            </w:pPr>
            <w:r w:rsidRPr="00863D93">
              <w:rPr>
                <w:rFonts w:cs="Arial"/>
              </w:rPr>
              <w:lastRenderedPageBreak/>
              <w:t>Data / Parameter:</w:t>
            </w:r>
          </w:p>
        </w:tc>
        <w:tc>
          <w:tcPr>
            <w:tcW w:w="6386" w:type="dxa"/>
          </w:tcPr>
          <w:p w14:paraId="4DA8C0C7" w14:textId="77777777" w:rsidR="00287F05" w:rsidRPr="00794098" w:rsidRDefault="00287F05" w:rsidP="00137ED2">
            <w:pPr>
              <w:pStyle w:val="SDMTableBoxParaNotNumbere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</w:rPr>
            </w:pPr>
            <w:proofErr w:type="spellStart"/>
            <w:r w:rsidRPr="00794098">
              <w:rPr>
                <w:rFonts w:cs="Arial"/>
                <w:i/>
                <w:iCs/>
              </w:rPr>
              <w:t>TEG</w:t>
            </w:r>
            <w:r w:rsidRPr="00794098">
              <w:rPr>
                <w:rFonts w:cs="Arial"/>
                <w:i/>
                <w:iCs/>
                <w:vertAlign w:val="subscript"/>
              </w:rPr>
              <w:t>y</w:t>
            </w:r>
            <w:proofErr w:type="spellEnd"/>
          </w:p>
        </w:tc>
      </w:tr>
      <w:tr w:rsidR="00287F05" w:rsidRPr="00863D93" w14:paraId="635493ED" w14:textId="77777777" w:rsidTr="00137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200CA278" w14:textId="77777777" w:rsidR="00287F05" w:rsidRPr="00863D93" w:rsidRDefault="00287F05" w:rsidP="00137ED2">
            <w:pPr>
              <w:pStyle w:val="SDMTableBoxParaNotNumbered"/>
              <w:jc w:val="both"/>
              <w:rPr>
                <w:rFonts w:cs="Arial"/>
              </w:rPr>
            </w:pPr>
            <w:r w:rsidRPr="00863D93">
              <w:rPr>
                <w:rFonts w:cs="Arial"/>
              </w:rPr>
              <w:t>Data unit:</w:t>
            </w:r>
          </w:p>
        </w:tc>
        <w:tc>
          <w:tcPr>
            <w:tcW w:w="6386" w:type="dxa"/>
          </w:tcPr>
          <w:p w14:paraId="1FC1A7F1" w14:textId="77777777" w:rsidR="00287F05" w:rsidRPr="00863D93" w:rsidRDefault="00287F05" w:rsidP="00137ED2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63D93">
              <w:rPr>
                <w:rFonts w:cs="Arial"/>
              </w:rPr>
              <w:t>MWh/y</w:t>
            </w:r>
            <w:r>
              <w:rPr>
                <w:rFonts w:cs="Arial"/>
              </w:rPr>
              <w:t>ea</w:t>
            </w:r>
            <w:r w:rsidRPr="00863D93">
              <w:rPr>
                <w:rFonts w:cs="Arial"/>
              </w:rPr>
              <w:t>r</w:t>
            </w:r>
          </w:p>
        </w:tc>
      </w:tr>
      <w:tr w:rsidR="00287F05" w:rsidRPr="00863D93" w14:paraId="7196106B" w14:textId="77777777" w:rsidTr="00137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3EBBE0F6" w14:textId="77777777" w:rsidR="00287F05" w:rsidRPr="00863D93" w:rsidRDefault="00287F05" w:rsidP="00137ED2">
            <w:pPr>
              <w:pStyle w:val="SDMTableBoxParaNotNumbered"/>
              <w:jc w:val="both"/>
              <w:rPr>
                <w:rFonts w:cs="Arial"/>
              </w:rPr>
            </w:pPr>
            <w:r w:rsidRPr="00863D93">
              <w:rPr>
                <w:rFonts w:cs="Arial"/>
              </w:rPr>
              <w:t>Description:</w:t>
            </w:r>
          </w:p>
        </w:tc>
        <w:tc>
          <w:tcPr>
            <w:tcW w:w="6386" w:type="dxa"/>
          </w:tcPr>
          <w:p w14:paraId="48B20C7E" w14:textId="77777777" w:rsidR="00287F05" w:rsidRPr="00863D93" w:rsidRDefault="00287F05" w:rsidP="00137ED2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63D93">
              <w:rPr>
                <w:rFonts w:cs="Arial"/>
                <w:iCs/>
              </w:rPr>
              <w:t xml:space="preserve">Total electricity produced by the project activity, including the electricity supplied to the grid and the electricity supplied to internal loads, in </w:t>
            </w:r>
            <w:r w:rsidRPr="00A4223D">
              <w:rPr>
                <w:rFonts w:cs="Arial"/>
                <w:iCs/>
              </w:rPr>
              <w:t>year </w:t>
            </w:r>
            <w:r w:rsidRPr="001A62BF">
              <w:rPr>
                <w:rFonts w:cs="Arial"/>
                <w:i/>
                <w:iCs/>
              </w:rPr>
              <w:t>y</w:t>
            </w:r>
          </w:p>
        </w:tc>
      </w:tr>
      <w:tr w:rsidR="00287F05" w:rsidRPr="00863D93" w14:paraId="665D05F1" w14:textId="77777777" w:rsidTr="00137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2500C020" w14:textId="77777777" w:rsidR="00287F05" w:rsidRPr="00863D93" w:rsidRDefault="00287F05" w:rsidP="00137ED2">
            <w:pPr>
              <w:pStyle w:val="SDMTableBoxParaNotNumbered"/>
              <w:jc w:val="both"/>
              <w:rPr>
                <w:rFonts w:cs="Arial"/>
              </w:rPr>
            </w:pPr>
            <w:r w:rsidRPr="00863D93">
              <w:rPr>
                <w:rFonts w:cs="Arial"/>
              </w:rPr>
              <w:t>Source of data:</w:t>
            </w:r>
          </w:p>
        </w:tc>
        <w:tc>
          <w:tcPr>
            <w:tcW w:w="6386" w:type="dxa"/>
          </w:tcPr>
          <w:p w14:paraId="28D74ACB" w14:textId="77777777" w:rsidR="00287F05" w:rsidRPr="00863D93" w:rsidRDefault="00287F05" w:rsidP="00137ED2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63D93">
              <w:rPr>
                <w:rFonts w:cs="Arial"/>
              </w:rPr>
              <w:t>Project activity site</w:t>
            </w:r>
          </w:p>
        </w:tc>
      </w:tr>
      <w:tr w:rsidR="00287F05" w:rsidRPr="00863D93" w14:paraId="7CB5867C" w14:textId="77777777" w:rsidTr="00137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19B9D13C" w14:textId="77777777" w:rsidR="00287F05" w:rsidRPr="00863D93" w:rsidRDefault="00287F05" w:rsidP="00137ED2">
            <w:pPr>
              <w:pStyle w:val="SDMTableBoxParaNotNumbered"/>
              <w:jc w:val="both"/>
              <w:rPr>
                <w:rFonts w:cs="Arial"/>
              </w:rPr>
            </w:pPr>
            <w:r w:rsidRPr="00863D93">
              <w:rPr>
                <w:rFonts w:cs="Arial"/>
              </w:rPr>
              <w:t>Measurement</w:t>
            </w:r>
            <w:r w:rsidRPr="00863D93">
              <w:rPr>
                <w:rFonts w:cs="Arial"/>
              </w:rPr>
              <w:br/>
              <w:t>procedures (if any):</w:t>
            </w:r>
          </w:p>
        </w:tc>
        <w:tc>
          <w:tcPr>
            <w:tcW w:w="6386" w:type="dxa"/>
          </w:tcPr>
          <w:p w14:paraId="089CA6BE" w14:textId="77777777" w:rsidR="00287F05" w:rsidRPr="00863D93" w:rsidRDefault="00287F05" w:rsidP="00137ED2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63D93">
              <w:rPr>
                <w:rFonts w:cs="Arial"/>
              </w:rPr>
              <w:t>Electricity meters</w:t>
            </w:r>
          </w:p>
        </w:tc>
      </w:tr>
      <w:tr w:rsidR="00287F05" w:rsidRPr="00863D93" w14:paraId="14A48049" w14:textId="77777777" w:rsidTr="00137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5AF53D7A" w14:textId="77777777" w:rsidR="00287F05" w:rsidRPr="00863D93" w:rsidRDefault="00287F05" w:rsidP="00137ED2">
            <w:pPr>
              <w:pStyle w:val="SDMTableBoxParaNotNumbered"/>
              <w:jc w:val="both"/>
              <w:rPr>
                <w:rFonts w:cs="Arial"/>
              </w:rPr>
            </w:pPr>
            <w:r w:rsidRPr="00863D93">
              <w:rPr>
                <w:rFonts w:cs="Arial"/>
              </w:rPr>
              <w:t>Monitoring frequency:</w:t>
            </w:r>
          </w:p>
        </w:tc>
        <w:tc>
          <w:tcPr>
            <w:tcW w:w="6386" w:type="dxa"/>
          </w:tcPr>
          <w:p w14:paraId="0D446A09" w14:textId="77777777" w:rsidR="00287F05" w:rsidRPr="00863D93" w:rsidRDefault="00287F05" w:rsidP="00137ED2">
            <w:pPr>
              <w:pStyle w:val="SDMTableBoxParaNotNumbered"/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63D93">
              <w:rPr>
                <w:rFonts w:cs="Arial"/>
              </w:rPr>
              <w:t>Continuous measurement and at least monthly recording</w:t>
            </w:r>
          </w:p>
        </w:tc>
      </w:tr>
      <w:tr w:rsidR="00287F05" w:rsidRPr="00863D93" w14:paraId="6BCDC632" w14:textId="77777777" w:rsidTr="00137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05DA4006" w14:textId="77777777" w:rsidR="00287F05" w:rsidRPr="00863D93" w:rsidRDefault="00287F05" w:rsidP="00137ED2">
            <w:pPr>
              <w:pStyle w:val="SDMTableBoxParaNotNumbered"/>
              <w:jc w:val="both"/>
              <w:rPr>
                <w:rFonts w:cs="Arial"/>
              </w:rPr>
            </w:pPr>
            <w:r w:rsidRPr="00863D93">
              <w:rPr>
                <w:rFonts w:cs="Arial"/>
              </w:rPr>
              <w:t>QA/QC procedures:</w:t>
            </w:r>
          </w:p>
        </w:tc>
        <w:tc>
          <w:tcPr>
            <w:tcW w:w="6386" w:type="dxa"/>
          </w:tcPr>
          <w:p w14:paraId="20D6CEF1" w14:textId="77777777" w:rsidR="00287F05" w:rsidRPr="00863D93" w:rsidRDefault="00287F05" w:rsidP="00137ED2">
            <w:pPr>
              <w:pStyle w:val="SDMTableBoxParaNotNumbered"/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–</w:t>
            </w:r>
          </w:p>
        </w:tc>
      </w:tr>
      <w:tr w:rsidR="00287F05" w:rsidRPr="00863D93" w14:paraId="767C0AD3" w14:textId="77777777" w:rsidTr="00137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5039536A" w14:textId="77777777" w:rsidR="00287F05" w:rsidRPr="00863D93" w:rsidRDefault="00287F05" w:rsidP="00137ED2">
            <w:pPr>
              <w:pStyle w:val="SDMTableBoxParaNotNumbered"/>
              <w:jc w:val="both"/>
              <w:rPr>
                <w:rFonts w:cs="Arial"/>
              </w:rPr>
            </w:pPr>
            <w:r w:rsidRPr="00863D93">
              <w:rPr>
                <w:rFonts w:cs="Arial"/>
              </w:rPr>
              <w:t>Any comment:</w:t>
            </w:r>
          </w:p>
        </w:tc>
        <w:tc>
          <w:tcPr>
            <w:tcW w:w="6386" w:type="dxa"/>
          </w:tcPr>
          <w:p w14:paraId="327EA53C" w14:textId="77777777" w:rsidR="00287F05" w:rsidRDefault="00287F05" w:rsidP="00137ED2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63D93">
              <w:rPr>
                <w:rFonts w:cs="Arial"/>
              </w:rPr>
              <w:t xml:space="preserve">Applicable to hydro power project activities with a power density </w:t>
            </w:r>
          </w:p>
          <w:p w14:paraId="48D1AA1A" w14:textId="0AA68D12" w:rsidR="00287F05" w:rsidRDefault="00287F05" w:rsidP="00137ED2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ertAlign w:val="superscript"/>
              </w:rPr>
            </w:pPr>
            <w:r w:rsidRPr="00863D93">
              <w:rPr>
                <w:rFonts w:cs="Arial"/>
              </w:rPr>
              <w:t>greater than 4 W/m</w:t>
            </w:r>
            <w:r w:rsidRPr="00863D93">
              <w:rPr>
                <w:rFonts w:cs="Arial"/>
                <w:vertAlign w:val="superscript"/>
              </w:rPr>
              <w:t>2</w:t>
            </w:r>
            <w:r w:rsidRPr="00863D93">
              <w:rPr>
                <w:rFonts w:cs="Arial"/>
              </w:rPr>
              <w:t xml:space="preserve"> and less than or equal to 10 W/m</w:t>
            </w:r>
            <w:r w:rsidRPr="00863D93">
              <w:rPr>
                <w:rFonts w:cs="Arial"/>
                <w:vertAlign w:val="superscript"/>
              </w:rPr>
              <w:t>2</w:t>
            </w:r>
          </w:p>
          <w:p w14:paraId="4241EF09" w14:textId="5BF7ADE6" w:rsidR="00287F05" w:rsidRPr="00D26191" w:rsidRDefault="00287F05" w:rsidP="00137ED2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26191">
              <w:rPr>
                <w:rFonts w:cs="Arial"/>
              </w:rPr>
              <w:t>Single and multiple meters</w:t>
            </w:r>
            <w:r>
              <w:rPr>
                <w:rFonts w:cs="Arial"/>
              </w:rPr>
              <w:t xml:space="preserve"> can be</w:t>
            </w:r>
            <w:r w:rsidRPr="00D26191">
              <w:rPr>
                <w:rFonts w:cs="Arial"/>
              </w:rPr>
              <w:t xml:space="preserve"> used in Wind Solar hybrid Project</w:t>
            </w:r>
          </w:p>
        </w:tc>
      </w:tr>
    </w:tbl>
    <w:p w14:paraId="656FADE7" w14:textId="77777777" w:rsidR="00287F05" w:rsidRDefault="00287F05" w:rsidP="00287F05">
      <w:pPr>
        <w:jc w:val="both"/>
        <w:rPr>
          <w:lang w:val="en-US"/>
        </w:rPr>
      </w:pPr>
    </w:p>
    <w:p w14:paraId="2DDC8F10" w14:textId="77777777" w:rsidR="00287F05" w:rsidRPr="00287F05" w:rsidRDefault="00287F05" w:rsidP="00D26191">
      <w:pPr>
        <w:jc w:val="both"/>
        <w:rPr>
          <w:lang w:val="en-US"/>
        </w:rPr>
      </w:pPr>
    </w:p>
    <w:sectPr w:rsidR="00287F05" w:rsidRPr="00287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A6DD6"/>
    <w:multiLevelType w:val="hybridMultilevel"/>
    <w:tmpl w:val="067E79E2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17B26"/>
    <w:multiLevelType w:val="hybridMultilevel"/>
    <w:tmpl w:val="444474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23EFD"/>
    <w:multiLevelType w:val="hybridMultilevel"/>
    <w:tmpl w:val="B4D285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E1B37"/>
    <w:multiLevelType w:val="hybridMultilevel"/>
    <w:tmpl w:val="061E1044"/>
    <w:lvl w:ilvl="0" w:tplc="2ACC5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4AD0"/>
    <w:multiLevelType w:val="hybridMultilevel"/>
    <w:tmpl w:val="A2AAC862"/>
    <w:lvl w:ilvl="0" w:tplc="D2E6548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874763">
    <w:abstractNumId w:val="2"/>
  </w:num>
  <w:num w:numId="2" w16cid:durableId="2061711727">
    <w:abstractNumId w:val="1"/>
  </w:num>
  <w:num w:numId="3" w16cid:durableId="659312881">
    <w:abstractNumId w:val="0"/>
  </w:num>
  <w:num w:numId="4" w16cid:durableId="1831554326">
    <w:abstractNumId w:val="3"/>
  </w:num>
  <w:num w:numId="5" w16cid:durableId="682123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36"/>
    <w:rsid w:val="00027766"/>
    <w:rsid w:val="000403DC"/>
    <w:rsid w:val="000603EF"/>
    <w:rsid w:val="000907A9"/>
    <w:rsid w:val="00093716"/>
    <w:rsid w:val="000C087B"/>
    <w:rsid w:val="000C60F3"/>
    <w:rsid w:val="000D1A99"/>
    <w:rsid w:val="000F195F"/>
    <w:rsid w:val="000F306B"/>
    <w:rsid w:val="000F6D0A"/>
    <w:rsid w:val="001074C1"/>
    <w:rsid w:val="0012465D"/>
    <w:rsid w:val="001577E9"/>
    <w:rsid w:val="001676E2"/>
    <w:rsid w:val="001868D9"/>
    <w:rsid w:val="0019009B"/>
    <w:rsid w:val="00197B57"/>
    <w:rsid w:val="001B19BA"/>
    <w:rsid w:val="001D793C"/>
    <w:rsid w:val="001F095E"/>
    <w:rsid w:val="001F1341"/>
    <w:rsid w:val="001F3E87"/>
    <w:rsid w:val="00217E8E"/>
    <w:rsid w:val="00285F8A"/>
    <w:rsid w:val="00287F05"/>
    <w:rsid w:val="0029293B"/>
    <w:rsid w:val="00296642"/>
    <w:rsid w:val="002A6293"/>
    <w:rsid w:val="002B39A4"/>
    <w:rsid w:val="002C1CFB"/>
    <w:rsid w:val="002E332D"/>
    <w:rsid w:val="002E7C87"/>
    <w:rsid w:val="002F093C"/>
    <w:rsid w:val="003111B6"/>
    <w:rsid w:val="00317B4B"/>
    <w:rsid w:val="0034120C"/>
    <w:rsid w:val="003508AE"/>
    <w:rsid w:val="00350D91"/>
    <w:rsid w:val="00353504"/>
    <w:rsid w:val="00364A12"/>
    <w:rsid w:val="0037442D"/>
    <w:rsid w:val="003B3540"/>
    <w:rsid w:val="003D4037"/>
    <w:rsid w:val="003D5EB4"/>
    <w:rsid w:val="00413DDA"/>
    <w:rsid w:val="00435DE4"/>
    <w:rsid w:val="00446842"/>
    <w:rsid w:val="00450792"/>
    <w:rsid w:val="00451EEF"/>
    <w:rsid w:val="0047649D"/>
    <w:rsid w:val="004964E3"/>
    <w:rsid w:val="004B2F22"/>
    <w:rsid w:val="004B6489"/>
    <w:rsid w:val="004B7BA1"/>
    <w:rsid w:val="004C6BEC"/>
    <w:rsid w:val="004E6988"/>
    <w:rsid w:val="004F1EE8"/>
    <w:rsid w:val="004F5B6A"/>
    <w:rsid w:val="00502F52"/>
    <w:rsid w:val="00512C98"/>
    <w:rsid w:val="00515ABE"/>
    <w:rsid w:val="0051605F"/>
    <w:rsid w:val="00537D76"/>
    <w:rsid w:val="00544823"/>
    <w:rsid w:val="00584FC7"/>
    <w:rsid w:val="005850AF"/>
    <w:rsid w:val="005B1126"/>
    <w:rsid w:val="005C7659"/>
    <w:rsid w:val="00621078"/>
    <w:rsid w:val="0063713C"/>
    <w:rsid w:val="00637F5E"/>
    <w:rsid w:val="00640417"/>
    <w:rsid w:val="00653717"/>
    <w:rsid w:val="00660361"/>
    <w:rsid w:val="00673E7A"/>
    <w:rsid w:val="00675A48"/>
    <w:rsid w:val="00675EFD"/>
    <w:rsid w:val="00683208"/>
    <w:rsid w:val="00684853"/>
    <w:rsid w:val="006B0FC4"/>
    <w:rsid w:val="006D5F05"/>
    <w:rsid w:val="006E48B0"/>
    <w:rsid w:val="00704404"/>
    <w:rsid w:val="00713AE2"/>
    <w:rsid w:val="007246FD"/>
    <w:rsid w:val="007635AE"/>
    <w:rsid w:val="00774EBF"/>
    <w:rsid w:val="00793D30"/>
    <w:rsid w:val="00794A36"/>
    <w:rsid w:val="00796A04"/>
    <w:rsid w:val="007A04CC"/>
    <w:rsid w:val="007A28C8"/>
    <w:rsid w:val="007A29C4"/>
    <w:rsid w:val="007B7B6F"/>
    <w:rsid w:val="007C6C75"/>
    <w:rsid w:val="0080601E"/>
    <w:rsid w:val="00807BB3"/>
    <w:rsid w:val="00810263"/>
    <w:rsid w:val="00811E3A"/>
    <w:rsid w:val="00815C49"/>
    <w:rsid w:val="008317AC"/>
    <w:rsid w:val="008631A0"/>
    <w:rsid w:val="0086686C"/>
    <w:rsid w:val="00867855"/>
    <w:rsid w:val="008832AA"/>
    <w:rsid w:val="008853A5"/>
    <w:rsid w:val="008B7E63"/>
    <w:rsid w:val="008F231F"/>
    <w:rsid w:val="008F254F"/>
    <w:rsid w:val="00904B9E"/>
    <w:rsid w:val="00911607"/>
    <w:rsid w:val="00921E6B"/>
    <w:rsid w:val="009301DB"/>
    <w:rsid w:val="0095139E"/>
    <w:rsid w:val="009609BE"/>
    <w:rsid w:val="009857BD"/>
    <w:rsid w:val="00990B3E"/>
    <w:rsid w:val="009A4D3E"/>
    <w:rsid w:val="009D2C56"/>
    <w:rsid w:val="009D34C5"/>
    <w:rsid w:val="00A00E2A"/>
    <w:rsid w:val="00A1583B"/>
    <w:rsid w:val="00A21893"/>
    <w:rsid w:val="00A26AB6"/>
    <w:rsid w:val="00A35924"/>
    <w:rsid w:val="00A37871"/>
    <w:rsid w:val="00A41D2F"/>
    <w:rsid w:val="00A547CA"/>
    <w:rsid w:val="00A70D58"/>
    <w:rsid w:val="00A8722A"/>
    <w:rsid w:val="00A87747"/>
    <w:rsid w:val="00A902B8"/>
    <w:rsid w:val="00AA7DBC"/>
    <w:rsid w:val="00AB591D"/>
    <w:rsid w:val="00AD6CB0"/>
    <w:rsid w:val="00AF4A8B"/>
    <w:rsid w:val="00AF5BF4"/>
    <w:rsid w:val="00B7114F"/>
    <w:rsid w:val="00B73996"/>
    <w:rsid w:val="00B74A0E"/>
    <w:rsid w:val="00B86611"/>
    <w:rsid w:val="00B96DA2"/>
    <w:rsid w:val="00BA2B12"/>
    <w:rsid w:val="00BA2B3C"/>
    <w:rsid w:val="00BB6009"/>
    <w:rsid w:val="00BC15C4"/>
    <w:rsid w:val="00BF0425"/>
    <w:rsid w:val="00C40112"/>
    <w:rsid w:val="00C46FF1"/>
    <w:rsid w:val="00C60ADF"/>
    <w:rsid w:val="00C82B37"/>
    <w:rsid w:val="00C8492F"/>
    <w:rsid w:val="00C86848"/>
    <w:rsid w:val="00CA0720"/>
    <w:rsid w:val="00CB212E"/>
    <w:rsid w:val="00CE776D"/>
    <w:rsid w:val="00CF4042"/>
    <w:rsid w:val="00CF505B"/>
    <w:rsid w:val="00D11E98"/>
    <w:rsid w:val="00D14772"/>
    <w:rsid w:val="00D200B0"/>
    <w:rsid w:val="00D26191"/>
    <w:rsid w:val="00D51BA1"/>
    <w:rsid w:val="00D55221"/>
    <w:rsid w:val="00D70136"/>
    <w:rsid w:val="00D710B7"/>
    <w:rsid w:val="00D7732D"/>
    <w:rsid w:val="00DC1EEE"/>
    <w:rsid w:val="00DD33DA"/>
    <w:rsid w:val="00DE2859"/>
    <w:rsid w:val="00DF3629"/>
    <w:rsid w:val="00DF4758"/>
    <w:rsid w:val="00E10A85"/>
    <w:rsid w:val="00E16300"/>
    <w:rsid w:val="00E36562"/>
    <w:rsid w:val="00E62B27"/>
    <w:rsid w:val="00E8107F"/>
    <w:rsid w:val="00EA245C"/>
    <w:rsid w:val="00EA2FB6"/>
    <w:rsid w:val="00EA7390"/>
    <w:rsid w:val="00F21F44"/>
    <w:rsid w:val="00F24B69"/>
    <w:rsid w:val="00F363E1"/>
    <w:rsid w:val="00F516B1"/>
    <w:rsid w:val="00F606CE"/>
    <w:rsid w:val="00F84F53"/>
    <w:rsid w:val="00F90177"/>
    <w:rsid w:val="00F978EF"/>
    <w:rsid w:val="00FB2244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D313"/>
  <w15:chartTrackingRefBased/>
  <w15:docId w15:val="{6A590C41-B6D7-411D-8349-95E3D315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A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A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A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A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A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A3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75EFD"/>
    <w:pPr>
      <w:spacing w:after="0" w:line="240" w:lineRule="auto"/>
    </w:pPr>
  </w:style>
  <w:style w:type="table" w:customStyle="1" w:styleId="SDMMethTableDataParameter">
    <w:name w:val="SDMMethTableDataParameter"/>
    <w:basedOn w:val="TableNormal"/>
    <w:uiPriority w:val="99"/>
    <w:rsid w:val="00287F05"/>
    <w:pPr>
      <w:spacing w:after="0" w:line="240" w:lineRule="auto"/>
    </w:pPr>
    <w:rPr>
      <w:rFonts w:ascii="Arial" w:eastAsiaTheme="minorEastAsia" w:hAnsi="Arial" w:cs="Times New Roman"/>
      <w:kern w:val="0"/>
      <w:sz w:val="20"/>
      <w:szCs w:val="20"/>
      <w:lang w:val="en-GB" w:eastAsia="en-GB"/>
      <w14:ligatures w14:val="none"/>
    </w:rPr>
    <w:tblPr>
      <w:tblInd w:w="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  <w:tblStylePr w:type="firstRow">
      <w:pPr>
        <w:keepNext/>
        <w:keepLines/>
        <w:wordWrap/>
      </w:pPr>
      <w:rPr>
        <w:b/>
      </w:rPr>
      <w:tblPr/>
      <w:tcPr>
        <w:tcMar>
          <w:top w:w="62" w:type="dxa"/>
          <w:left w:w="0" w:type="nil"/>
          <w:bottom w:w="62" w:type="dxa"/>
          <w:right w:w="0" w:type="nil"/>
        </w:tcMar>
      </w:tcPr>
    </w:tblStylePr>
    <w:tblStylePr w:type="firstCol">
      <w:tblPr/>
      <w:tcPr>
        <w:shd w:val="clear" w:color="auto" w:fill="E6E6E6"/>
      </w:tcPr>
    </w:tblStylePr>
  </w:style>
  <w:style w:type="paragraph" w:customStyle="1" w:styleId="SDMTableBoxParaNotNumbered">
    <w:name w:val="SDMTable&amp;BoxParaNotNumbered"/>
    <w:basedOn w:val="Normal"/>
    <w:qFormat/>
    <w:rsid w:val="00287F05"/>
    <w:pPr>
      <w:spacing w:after="0" w:line="240" w:lineRule="auto"/>
    </w:pPr>
    <w:rPr>
      <w:rFonts w:ascii="Arial" w:eastAsiaTheme="minorEastAsia" w:hAnsi="Arial" w:cs="Times New Roman"/>
      <w:kern w:val="0"/>
      <w:sz w:val="20"/>
      <w:szCs w:val="20"/>
      <w:lang w:val="en-GB"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F1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9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Ampin Energy</dc:creator>
  <cp:keywords/>
  <dc:description/>
  <cp:lastModifiedBy>Ampin Energy</cp:lastModifiedBy>
  <cp:revision>3</cp:revision>
  <dcterms:created xsi:type="dcterms:W3CDTF">2024-04-22T11:34:00Z</dcterms:created>
  <dcterms:modified xsi:type="dcterms:W3CDTF">2024-04-22T11:34:00Z</dcterms:modified>
</cp:coreProperties>
</file>