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218F25F7" w:rsidR="00E60C4A" w:rsidRDefault="00E60C4A" w:rsidP="00E60C4A">
      <w:pPr>
        <w:pStyle w:val="StyleRegHead111pt"/>
        <w:numPr>
          <w:ilvl w:val="0"/>
          <w:numId w:val="0"/>
        </w:numPr>
        <w:jc w:val="left"/>
      </w:pPr>
      <w:r>
        <w:t xml:space="preserve">Name of submitter: </w:t>
      </w:r>
      <w:r w:rsidR="00D84278">
        <w:t>Raphael Eberle</w:t>
      </w:r>
    </w:p>
    <w:p w14:paraId="1539A45C" w14:textId="78990E80" w:rsidR="00E60C4A" w:rsidRDefault="00E60C4A" w:rsidP="00E60C4A">
      <w:pPr>
        <w:pStyle w:val="StyleRegHead111pt"/>
        <w:numPr>
          <w:ilvl w:val="0"/>
          <w:numId w:val="0"/>
        </w:numPr>
        <w:jc w:val="left"/>
      </w:pPr>
      <w:r>
        <w:t>Affiliated organization of the submitter</w:t>
      </w:r>
      <w:r w:rsidR="006D0849">
        <w:t xml:space="preserve"> (if any)</w:t>
      </w:r>
      <w:r>
        <w:t xml:space="preserve">: </w:t>
      </w:r>
      <w:proofErr w:type="spellStart"/>
      <w:r w:rsidR="00D84278">
        <w:t>Sistema.bio</w:t>
      </w:r>
      <w:proofErr w:type="spellEnd"/>
      <w:r w:rsidR="00D84278">
        <w:t xml:space="preserve"> </w:t>
      </w:r>
    </w:p>
    <w:p w14:paraId="5F63183D" w14:textId="76956E37" w:rsidR="00E60C4A" w:rsidRPr="007F243D" w:rsidRDefault="00E60C4A" w:rsidP="00E60C4A">
      <w:pPr>
        <w:pStyle w:val="StyleRegHead111pt"/>
        <w:numPr>
          <w:ilvl w:val="0"/>
          <w:numId w:val="0"/>
        </w:numPr>
        <w:jc w:val="left"/>
      </w:pPr>
      <w:r>
        <w:t xml:space="preserve">Contact email of submitter: </w:t>
      </w:r>
      <w:proofErr w:type="spellStart"/>
      <w:r w:rsidR="00D84278">
        <w:t>raphael@sistema.bio</w:t>
      </w:r>
      <w:proofErr w:type="spellEnd"/>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5"/>
        <w:gridCol w:w="1425"/>
        <w:gridCol w:w="692"/>
        <w:gridCol w:w="230"/>
        <w:gridCol w:w="980"/>
        <w:gridCol w:w="4762"/>
        <w:gridCol w:w="4253"/>
        <w:gridCol w:w="2552"/>
      </w:tblGrid>
      <w:tr w:rsidR="002B73C9" w14:paraId="44974AB3" w14:textId="77777777" w:rsidTr="00ED3E57">
        <w:trPr>
          <w:cantSplit/>
          <w:trHeight w:val="300"/>
          <w:tblHeader/>
          <w:jc w:val="center"/>
        </w:trPr>
        <w:tc>
          <w:tcPr>
            <w:tcW w:w="435" w:type="dxa"/>
            <w:tcBorders>
              <w:top w:val="single" w:sz="6" w:space="0" w:color="auto"/>
              <w:left w:val="single" w:sz="6" w:space="0" w:color="auto"/>
              <w:bottom w:val="single" w:sz="6" w:space="0" w:color="auto"/>
              <w:right w:val="single" w:sz="6" w:space="0" w:color="auto"/>
            </w:tcBorders>
          </w:tcPr>
          <w:p w14:paraId="1118F40B" w14:textId="6E905A14" w:rsidR="00863150" w:rsidRDefault="00863150" w:rsidP="007E487F">
            <w:pPr>
              <w:keepLines/>
              <w:spacing w:before="40" w:after="40" w:line="180" w:lineRule="exact"/>
              <w:jc w:val="left"/>
              <w:rPr>
                <w:b/>
                <w:bCs/>
                <w:sz w:val="16"/>
                <w:szCs w:val="16"/>
              </w:rPr>
            </w:pPr>
            <w:r>
              <w:rPr>
                <w:b/>
                <w:bCs/>
                <w:sz w:val="16"/>
                <w:szCs w:val="16"/>
              </w:rPr>
              <w:t>0</w:t>
            </w:r>
          </w:p>
        </w:tc>
        <w:tc>
          <w:tcPr>
            <w:tcW w:w="1425"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rsidP="007E487F">
            <w:pPr>
              <w:keepLines/>
              <w:spacing w:before="40" w:after="40" w:line="180" w:lineRule="exact"/>
              <w:jc w:val="left"/>
              <w:rPr>
                <w:b/>
                <w:bCs/>
                <w:sz w:val="16"/>
                <w:szCs w:val="16"/>
              </w:rPr>
            </w:pPr>
            <w:r>
              <w:rPr>
                <w:b/>
                <w:bCs/>
                <w:sz w:val="16"/>
                <w:szCs w:val="16"/>
              </w:rPr>
              <w:t>1</w:t>
            </w:r>
          </w:p>
        </w:tc>
        <w:tc>
          <w:tcPr>
            <w:tcW w:w="922" w:type="dxa"/>
            <w:gridSpan w:val="2"/>
            <w:tcBorders>
              <w:top w:val="single" w:sz="6" w:space="0" w:color="auto"/>
              <w:left w:val="single" w:sz="6" w:space="0" w:color="auto"/>
              <w:bottom w:val="single" w:sz="6" w:space="0" w:color="auto"/>
              <w:right w:val="single" w:sz="6" w:space="0" w:color="auto"/>
            </w:tcBorders>
          </w:tcPr>
          <w:p w14:paraId="743B88A7" w14:textId="77777777" w:rsidR="00863150" w:rsidRDefault="00863150" w:rsidP="007E487F">
            <w:pPr>
              <w:keepLines/>
              <w:spacing w:before="40" w:after="40" w:line="180" w:lineRule="exact"/>
              <w:jc w:val="left"/>
              <w:rPr>
                <w:b/>
                <w:bCs/>
                <w:sz w:val="16"/>
                <w:szCs w:val="16"/>
              </w:rPr>
            </w:pPr>
            <w:r>
              <w:rPr>
                <w:b/>
                <w:bCs/>
                <w:sz w:val="16"/>
                <w:szCs w:val="16"/>
              </w:rPr>
              <w:t>2</w:t>
            </w:r>
          </w:p>
        </w:tc>
        <w:tc>
          <w:tcPr>
            <w:tcW w:w="980"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rsidP="007E487F">
            <w:pPr>
              <w:keepLines/>
              <w:spacing w:before="40" w:after="40" w:line="180" w:lineRule="exact"/>
              <w:jc w:val="left"/>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rsidP="007E487F">
            <w:pPr>
              <w:keepLines/>
              <w:spacing w:before="40" w:after="40" w:line="180" w:lineRule="exact"/>
              <w:jc w:val="left"/>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rsidP="007E487F">
            <w:pPr>
              <w:keepLines/>
              <w:spacing w:before="40" w:after="40" w:line="180" w:lineRule="exact"/>
              <w:jc w:val="left"/>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rsidP="007E487F">
            <w:pPr>
              <w:keepLines/>
              <w:spacing w:before="40" w:after="40" w:line="180" w:lineRule="exact"/>
              <w:jc w:val="left"/>
              <w:rPr>
                <w:b/>
                <w:bCs/>
                <w:sz w:val="16"/>
                <w:szCs w:val="16"/>
              </w:rPr>
            </w:pPr>
            <w:r>
              <w:rPr>
                <w:b/>
                <w:bCs/>
                <w:sz w:val="16"/>
                <w:szCs w:val="16"/>
              </w:rPr>
              <w:t>6</w:t>
            </w:r>
          </w:p>
        </w:tc>
      </w:tr>
      <w:tr w:rsidR="00931B52" w14:paraId="48486F42" w14:textId="77777777" w:rsidTr="00ED3E57">
        <w:trPr>
          <w:cantSplit/>
          <w:trHeight w:val="300"/>
          <w:tblHeader/>
          <w:jc w:val="center"/>
        </w:trPr>
        <w:tc>
          <w:tcPr>
            <w:tcW w:w="435"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rsidP="007E487F">
            <w:pPr>
              <w:keepLines/>
              <w:spacing w:before="40" w:after="40" w:line="190" w:lineRule="exact"/>
              <w:jc w:val="left"/>
              <w:rPr>
                <w:b/>
                <w:bCs/>
                <w:sz w:val="16"/>
                <w:szCs w:val="16"/>
              </w:rPr>
            </w:pPr>
            <w:r>
              <w:rPr>
                <w:b/>
                <w:bCs/>
                <w:sz w:val="16"/>
                <w:szCs w:val="16"/>
              </w:rPr>
              <w:t>#</w:t>
            </w:r>
          </w:p>
          <w:p w14:paraId="1BEFCA54" w14:textId="77777777" w:rsidR="00863150" w:rsidRDefault="00863150" w:rsidP="007E487F">
            <w:pPr>
              <w:keepLines/>
              <w:spacing w:before="40" w:after="40" w:line="190" w:lineRule="exact"/>
              <w:jc w:val="left"/>
              <w:rPr>
                <w:b/>
                <w:bCs/>
                <w:sz w:val="16"/>
                <w:szCs w:val="16"/>
              </w:rPr>
            </w:pPr>
          </w:p>
        </w:tc>
        <w:tc>
          <w:tcPr>
            <w:tcW w:w="1425"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rsidP="007E487F">
            <w:pPr>
              <w:keepLines/>
              <w:spacing w:before="40" w:after="40" w:line="190" w:lineRule="exact"/>
              <w:jc w:val="left"/>
              <w:rPr>
                <w:b/>
                <w:bCs/>
                <w:sz w:val="16"/>
                <w:szCs w:val="16"/>
              </w:rPr>
            </w:pPr>
            <w:r>
              <w:rPr>
                <w:b/>
                <w:bCs/>
                <w:sz w:val="16"/>
                <w:szCs w:val="16"/>
              </w:rPr>
              <w:t>Para No./</w:t>
            </w:r>
            <w:r>
              <w:rPr>
                <w:b/>
                <w:bCs/>
                <w:sz w:val="16"/>
                <w:szCs w:val="16"/>
              </w:rPr>
              <w:br/>
              <w:t>Annex / Figure / Table</w:t>
            </w:r>
          </w:p>
        </w:tc>
        <w:tc>
          <w:tcPr>
            <w:tcW w:w="922" w:type="dxa"/>
            <w:gridSpan w:val="2"/>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rsidP="007E487F">
            <w:pPr>
              <w:keepLines/>
              <w:spacing w:before="40" w:after="40" w:line="190" w:lineRule="exact"/>
              <w:jc w:val="left"/>
              <w:rPr>
                <w:b/>
                <w:bCs/>
                <w:sz w:val="16"/>
                <w:szCs w:val="16"/>
              </w:rPr>
            </w:pPr>
            <w:r>
              <w:rPr>
                <w:b/>
                <w:bCs/>
                <w:sz w:val="16"/>
                <w:szCs w:val="16"/>
              </w:rPr>
              <w:t>Line Number</w:t>
            </w:r>
          </w:p>
        </w:tc>
        <w:tc>
          <w:tcPr>
            <w:tcW w:w="980"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rsidP="007E487F">
            <w:pPr>
              <w:keepLines/>
              <w:spacing w:before="40" w:after="40" w:line="190" w:lineRule="exact"/>
              <w:jc w:val="left"/>
              <w:rPr>
                <w:b/>
                <w:bCs/>
                <w:sz w:val="16"/>
                <w:szCs w:val="16"/>
              </w:rPr>
            </w:pPr>
            <w:r>
              <w:rPr>
                <w:b/>
                <w:bCs/>
                <w:sz w:val="16"/>
                <w:szCs w:val="16"/>
              </w:rPr>
              <w:t>Type of comment</w:t>
            </w:r>
          </w:p>
          <w:p w14:paraId="7BC03EA3" w14:textId="77777777" w:rsidR="00863150" w:rsidRDefault="00863150" w:rsidP="007E487F">
            <w:pPr>
              <w:keepLines/>
              <w:spacing w:before="40" w:after="40" w:line="190" w:lineRule="exact"/>
              <w:jc w:val="left"/>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rsidP="007E487F">
            <w:pPr>
              <w:keepLines/>
              <w:spacing w:before="40" w:after="40" w:line="190" w:lineRule="exact"/>
              <w:jc w:val="left"/>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rsidP="007E487F">
            <w:pPr>
              <w:keepLines/>
              <w:spacing w:before="40" w:after="40" w:line="190" w:lineRule="exact"/>
              <w:jc w:val="left"/>
              <w:rPr>
                <w:b/>
                <w:bCs/>
                <w:sz w:val="16"/>
                <w:szCs w:val="16"/>
              </w:rPr>
            </w:pPr>
            <w:r>
              <w:rPr>
                <w:b/>
                <w:bCs/>
                <w:sz w:val="16"/>
                <w:szCs w:val="16"/>
              </w:rPr>
              <w:t xml:space="preserve">Comment </w:t>
            </w:r>
          </w:p>
          <w:p w14:paraId="58D30D20" w14:textId="77777777" w:rsidR="00863150" w:rsidRDefault="00863150" w:rsidP="007E487F">
            <w:pPr>
              <w:keepLines/>
              <w:spacing w:before="40" w:after="40" w:line="190" w:lineRule="exact"/>
              <w:jc w:val="left"/>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186F6602" w:rsidP="007E487F">
            <w:pPr>
              <w:keepLines/>
              <w:spacing w:before="40" w:after="40" w:line="190" w:lineRule="exact"/>
              <w:jc w:val="left"/>
              <w:rPr>
                <w:b/>
                <w:bCs/>
                <w:sz w:val="16"/>
                <w:szCs w:val="16"/>
              </w:rPr>
            </w:pPr>
            <w:r w:rsidRPr="186F6602">
              <w:rPr>
                <w:b/>
                <w:bCs/>
                <w:sz w:val="16"/>
                <w:szCs w:val="16"/>
              </w:rPr>
              <w:t xml:space="preserve">Proposed change </w:t>
            </w:r>
          </w:p>
          <w:p w14:paraId="50091044" w14:textId="77777777" w:rsidR="00863150" w:rsidRDefault="186F6602" w:rsidP="007E487F">
            <w:pPr>
              <w:keepLines/>
              <w:spacing w:before="40" w:after="40" w:line="190" w:lineRule="exact"/>
              <w:jc w:val="left"/>
              <w:rPr>
                <w:b/>
                <w:bCs/>
                <w:sz w:val="16"/>
                <w:szCs w:val="16"/>
              </w:rPr>
            </w:pPr>
            <w:r w:rsidRPr="186F6602">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7E487F">
            <w:pPr>
              <w:keepLines/>
              <w:spacing w:before="40" w:after="40" w:line="190" w:lineRule="exact"/>
              <w:jc w:val="left"/>
              <w:rPr>
                <w:b/>
                <w:bCs/>
                <w:sz w:val="16"/>
                <w:szCs w:val="16"/>
              </w:rPr>
            </w:pPr>
            <w:r>
              <w:rPr>
                <w:b/>
                <w:bCs/>
                <w:sz w:val="16"/>
                <w:szCs w:val="16"/>
              </w:rPr>
              <w:t>Assessment of comment</w:t>
            </w:r>
          </w:p>
          <w:p w14:paraId="54A7E6A7" w14:textId="77777777" w:rsidR="00863150" w:rsidRDefault="00863150" w:rsidP="007E487F">
            <w:pPr>
              <w:keepLines/>
              <w:spacing w:before="40" w:after="40" w:line="190" w:lineRule="exact"/>
              <w:jc w:val="left"/>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483CEC" w14:paraId="3185C99C"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66485F8" w14:textId="567C3214" w:rsidR="00483CEC" w:rsidRPr="56C484A5" w:rsidRDefault="00CE07D1" w:rsidP="00483CEC">
            <w:pPr>
              <w:spacing w:line="190" w:lineRule="exact"/>
              <w:jc w:val="left"/>
              <w:rPr>
                <w:b/>
                <w:bCs/>
                <w:sz w:val="16"/>
                <w:szCs w:val="16"/>
              </w:rPr>
            </w:pPr>
            <w:r>
              <w:rPr>
                <w:b/>
                <w:bCs/>
                <w:sz w:val="16"/>
                <w:szCs w:val="16"/>
              </w:rPr>
              <w:t>1</w:t>
            </w:r>
          </w:p>
        </w:tc>
        <w:tc>
          <w:tcPr>
            <w:tcW w:w="1425" w:type="dxa"/>
            <w:tcBorders>
              <w:top w:val="single" w:sz="6" w:space="0" w:color="auto"/>
              <w:left w:val="single" w:sz="6" w:space="0" w:color="auto"/>
              <w:bottom w:val="single" w:sz="6" w:space="0" w:color="auto"/>
              <w:right w:val="single" w:sz="6" w:space="0" w:color="auto"/>
            </w:tcBorders>
          </w:tcPr>
          <w:p w14:paraId="497457DB" w14:textId="3873D4C1" w:rsidR="00483CEC" w:rsidRPr="186F6602" w:rsidRDefault="00483CEC" w:rsidP="00483CEC">
            <w:pPr>
              <w:spacing w:line="190" w:lineRule="exact"/>
              <w:jc w:val="left"/>
              <w:rPr>
                <w:b/>
                <w:bCs/>
                <w:sz w:val="16"/>
                <w:szCs w:val="16"/>
              </w:rPr>
            </w:pPr>
            <w:r>
              <w:rPr>
                <w:b/>
                <w:bCs/>
                <w:sz w:val="16"/>
                <w:szCs w:val="16"/>
              </w:rPr>
              <w:t>General</w:t>
            </w:r>
          </w:p>
        </w:tc>
        <w:tc>
          <w:tcPr>
            <w:tcW w:w="922" w:type="dxa"/>
            <w:gridSpan w:val="2"/>
            <w:tcBorders>
              <w:top w:val="single" w:sz="6" w:space="0" w:color="auto"/>
              <w:left w:val="single" w:sz="6" w:space="0" w:color="auto"/>
              <w:bottom w:val="single" w:sz="6" w:space="0" w:color="auto"/>
              <w:right w:val="single" w:sz="6" w:space="0" w:color="auto"/>
            </w:tcBorders>
          </w:tcPr>
          <w:p w14:paraId="0F5B4175" w14:textId="2BDB4C4D" w:rsidR="00483CEC" w:rsidRPr="186F6602" w:rsidRDefault="00483CEC" w:rsidP="00483CEC">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3AEAD143" w14:textId="1A5B3361" w:rsidR="00483CEC" w:rsidRPr="186F6602" w:rsidRDefault="00483CEC" w:rsidP="00483CEC">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741D9054" w14:textId="77777777" w:rsidR="00483CEC" w:rsidRPr="00941A70" w:rsidRDefault="00483CEC" w:rsidP="00483CEC">
            <w:pPr>
              <w:spacing w:before="40" w:after="40"/>
              <w:jc w:val="left"/>
              <w:rPr>
                <w:rFonts w:eastAsia="Arial"/>
                <w:b/>
                <w:bCs/>
                <w:sz w:val="16"/>
                <w:szCs w:val="16"/>
              </w:rPr>
            </w:pPr>
            <w:r w:rsidRPr="00941A70">
              <w:rPr>
                <w:rFonts w:eastAsia="Arial"/>
                <w:b/>
                <w:bCs/>
                <w:sz w:val="16"/>
                <w:szCs w:val="16"/>
              </w:rPr>
              <w:t>Country Approval</w:t>
            </w:r>
          </w:p>
          <w:p w14:paraId="5D6AD42D" w14:textId="29926716" w:rsidR="00483CEC" w:rsidRPr="00941A70" w:rsidRDefault="00483CEC" w:rsidP="00483CEC">
            <w:pPr>
              <w:spacing w:before="40" w:after="40"/>
              <w:jc w:val="left"/>
              <w:rPr>
                <w:rFonts w:eastAsia="Arial"/>
                <w:b/>
                <w:bCs/>
                <w:sz w:val="16"/>
                <w:szCs w:val="16"/>
              </w:rPr>
            </w:pPr>
            <w:r w:rsidRPr="00941A70">
              <w:rPr>
                <w:rFonts w:eastAsia="Arial"/>
                <w:sz w:val="16"/>
                <w:szCs w:val="16"/>
              </w:rPr>
              <w:t xml:space="preserve">While we welcome the increased sophistication of </w:t>
            </w:r>
            <w:proofErr w:type="spellStart"/>
            <w:r w:rsidRPr="00941A70">
              <w:rPr>
                <w:rFonts w:eastAsia="Arial"/>
                <w:sz w:val="16"/>
                <w:szCs w:val="16"/>
              </w:rPr>
              <w:t>fNRB</w:t>
            </w:r>
            <w:proofErr w:type="spellEnd"/>
            <w:r w:rsidRPr="00941A70">
              <w:rPr>
                <w:rFonts w:eastAsia="Arial"/>
                <w:sz w:val="16"/>
                <w:szCs w:val="16"/>
              </w:rPr>
              <w:t xml:space="preserve"> estimation, the </w:t>
            </w:r>
            <w:proofErr w:type="spellStart"/>
            <w:r w:rsidR="00847B1A">
              <w:rPr>
                <w:rFonts w:eastAsia="Arial"/>
                <w:sz w:val="16"/>
                <w:szCs w:val="16"/>
              </w:rPr>
              <w:t>MoFuSS</w:t>
            </w:r>
            <w:proofErr w:type="spellEnd"/>
            <w:r w:rsidRPr="00941A70">
              <w:rPr>
                <w:rFonts w:eastAsia="Arial"/>
                <w:sz w:val="16"/>
                <w:szCs w:val="16"/>
              </w:rPr>
              <w:t xml:space="preserve"> model presented is complex. Neither the model nor the data inputs have been adequately validated by Designated National Authorities (DNAs) due to the short timeframe provided for analysis.</w:t>
            </w:r>
          </w:p>
        </w:tc>
        <w:tc>
          <w:tcPr>
            <w:tcW w:w="4253" w:type="dxa"/>
            <w:tcBorders>
              <w:top w:val="single" w:sz="6" w:space="0" w:color="auto"/>
              <w:left w:val="single" w:sz="6" w:space="0" w:color="auto"/>
              <w:bottom w:val="single" w:sz="6" w:space="0" w:color="auto"/>
              <w:right w:val="single" w:sz="6" w:space="0" w:color="auto"/>
            </w:tcBorders>
          </w:tcPr>
          <w:p w14:paraId="2D6C1C1C" w14:textId="77777777" w:rsidR="00483CEC" w:rsidRPr="00941A70" w:rsidRDefault="00483CEC" w:rsidP="00483CEC">
            <w:pPr>
              <w:jc w:val="left"/>
              <w:rPr>
                <w:rFonts w:eastAsia="Arial"/>
                <w:sz w:val="16"/>
                <w:szCs w:val="16"/>
              </w:rPr>
            </w:pPr>
            <w:r w:rsidRPr="00941A70">
              <w:rPr>
                <w:rFonts w:eastAsia="Arial"/>
                <w:sz w:val="16"/>
                <w:szCs w:val="16"/>
              </w:rPr>
              <w:t xml:space="preserve">The determination of the </w:t>
            </w:r>
            <w:proofErr w:type="spellStart"/>
            <w:r w:rsidRPr="00941A70">
              <w:rPr>
                <w:rFonts w:eastAsia="Arial"/>
                <w:sz w:val="16"/>
                <w:szCs w:val="16"/>
              </w:rPr>
              <w:t>fNRB</w:t>
            </w:r>
            <w:proofErr w:type="spellEnd"/>
            <w:r w:rsidRPr="00941A70">
              <w:rPr>
                <w:rFonts w:eastAsia="Arial"/>
                <w:sz w:val="16"/>
                <w:szCs w:val="16"/>
              </w:rPr>
              <w:t xml:space="preserve"> deserves critical scientific consensus before final values are released. The current 5-week review period provides little room for sufficient stakeholder engagement and inadequate time for DNAs to assess and provide comprehensive feedback on the input and results accuracy. </w:t>
            </w:r>
          </w:p>
          <w:p w14:paraId="277F1911" w14:textId="77777777" w:rsidR="00483CEC" w:rsidRPr="00941A70" w:rsidRDefault="00483CEC" w:rsidP="00483CEC">
            <w:pPr>
              <w:jc w:val="left"/>
              <w:rPr>
                <w:rFonts w:eastAsia="Arial"/>
                <w:sz w:val="16"/>
                <w:szCs w:val="16"/>
              </w:rPr>
            </w:pPr>
          </w:p>
          <w:p w14:paraId="665A9E35" w14:textId="51F1722C" w:rsidR="00483CEC" w:rsidRPr="00941A70" w:rsidRDefault="00483CEC" w:rsidP="00483CEC">
            <w:pPr>
              <w:spacing w:line="190" w:lineRule="exact"/>
              <w:jc w:val="left"/>
              <w:rPr>
                <w:rFonts w:eastAsia="Arial"/>
                <w:sz w:val="16"/>
                <w:szCs w:val="16"/>
              </w:rPr>
            </w:pPr>
            <w:r w:rsidRPr="00941A70">
              <w:rPr>
                <w:rFonts w:eastAsia="Arial"/>
                <w:sz w:val="16"/>
                <w:szCs w:val="16"/>
              </w:rPr>
              <w:t xml:space="preserve">We urge the CDM Executive Board to delay the implementation of the new </w:t>
            </w:r>
            <w:proofErr w:type="spellStart"/>
            <w:r w:rsidRPr="00941A70">
              <w:rPr>
                <w:rFonts w:eastAsia="Arial"/>
                <w:sz w:val="16"/>
                <w:szCs w:val="16"/>
              </w:rPr>
              <w:t>fNRB</w:t>
            </w:r>
            <w:proofErr w:type="spellEnd"/>
            <w:r w:rsidRPr="00941A70">
              <w:rPr>
                <w:rFonts w:eastAsia="Arial"/>
                <w:sz w:val="16"/>
                <w:szCs w:val="16"/>
              </w:rPr>
              <w:t xml:space="preserve"> estimates until a broader scientific consensus is achieved. This will ensure the integrity and accuracy of the environmental claims, aligning with ISO standard ISO 5725-1:1994, which emphasizes accuracy over conservativeness in scientific guidelines.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D744B9E" w14:textId="77777777" w:rsidR="00483CEC" w:rsidRDefault="00483CEC" w:rsidP="00483CEC">
            <w:pPr>
              <w:spacing w:line="190" w:lineRule="exact"/>
              <w:jc w:val="left"/>
              <w:rPr>
                <w:b/>
                <w:bCs/>
                <w:sz w:val="16"/>
                <w:szCs w:val="16"/>
              </w:rPr>
            </w:pPr>
          </w:p>
        </w:tc>
      </w:tr>
      <w:tr w:rsidR="00483CEC" w14:paraId="2066AAE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4943E02" w14:textId="759A038D" w:rsidR="00483CEC" w:rsidRPr="56C484A5" w:rsidRDefault="00CE07D1" w:rsidP="00483CEC">
            <w:pPr>
              <w:spacing w:line="190" w:lineRule="exact"/>
              <w:jc w:val="left"/>
              <w:rPr>
                <w:b/>
                <w:bCs/>
                <w:sz w:val="16"/>
                <w:szCs w:val="16"/>
              </w:rPr>
            </w:pPr>
            <w:r>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761BD8D8" w14:textId="30E0FF37" w:rsidR="00483CEC" w:rsidRPr="186F6602" w:rsidRDefault="00483CEC" w:rsidP="00483CEC">
            <w:pPr>
              <w:spacing w:line="190" w:lineRule="exact"/>
              <w:jc w:val="left"/>
              <w:rPr>
                <w:b/>
                <w:bCs/>
                <w:sz w:val="16"/>
                <w:szCs w:val="16"/>
              </w:rPr>
            </w:pPr>
            <w:r>
              <w:rPr>
                <w:b/>
                <w:bCs/>
                <w:sz w:val="16"/>
                <w:szCs w:val="16"/>
              </w:rPr>
              <w:t>General</w:t>
            </w:r>
          </w:p>
        </w:tc>
        <w:tc>
          <w:tcPr>
            <w:tcW w:w="922" w:type="dxa"/>
            <w:gridSpan w:val="2"/>
            <w:tcBorders>
              <w:top w:val="single" w:sz="6" w:space="0" w:color="auto"/>
              <w:left w:val="single" w:sz="6" w:space="0" w:color="auto"/>
              <w:bottom w:val="single" w:sz="6" w:space="0" w:color="auto"/>
              <w:right w:val="single" w:sz="6" w:space="0" w:color="auto"/>
            </w:tcBorders>
          </w:tcPr>
          <w:p w14:paraId="255ADC11" w14:textId="505BE546" w:rsidR="00483CEC" w:rsidRPr="186F6602" w:rsidRDefault="00483CEC" w:rsidP="00483CEC">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29B94CEC" w14:textId="331B631B" w:rsidR="00483CEC" w:rsidRPr="186F6602" w:rsidRDefault="00483CEC" w:rsidP="00483CEC">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63551392" w14:textId="60AA62EE" w:rsidR="00483CEC" w:rsidRPr="00941A70" w:rsidRDefault="00A00294" w:rsidP="00483CEC">
            <w:pPr>
              <w:spacing w:before="40" w:after="40"/>
              <w:jc w:val="left"/>
              <w:rPr>
                <w:rFonts w:eastAsia="Arial"/>
                <w:b/>
                <w:bCs/>
                <w:sz w:val="16"/>
                <w:szCs w:val="16"/>
              </w:rPr>
            </w:pPr>
            <w:r w:rsidRPr="00941A70">
              <w:rPr>
                <w:rFonts w:eastAsia="Arial"/>
                <w:b/>
                <w:bCs/>
                <w:sz w:val="16"/>
                <w:szCs w:val="16"/>
              </w:rPr>
              <w:t>Independent Validation</w:t>
            </w:r>
          </w:p>
          <w:p w14:paraId="44C8BDEB" w14:textId="59D12850" w:rsidR="00483CEC" w:rsidRPr="00941A70" w:rsidRDefault="00483CEC" w:rsidP="00483CEC">
            <w:pPr>
              <w:spacing w:before="40" w:after="40"/>
              <w:jc w:val="left"/>
              <w:rPr>
                <w:rFonts w:eastAsia="Arial"/>
                <w:b/>
                <w:bCs/>
                <w:sz w:val="16"/>
                <w:szCs w:val="16"/>
              </w:rPr>
            </w:pPr>
            <w:r w:rsidRPr="00941A70">
              <w:rPr>
                <w:rFonts w:eastAsia="Arial"/>
                <w:sz w:val="16"/>
                <w:szCs w:val="16"/>
              </w:rPr>
              <w:t xml:space="preserve">We have concerns with respect to the </w:t>
            </w:r>
            <w:proofErr w:type="spellStart"/>
            <w:r w:rsidR="00847B1A">
              <w:rPr>
                <w:rFonts w:eastAsia="Arial"/>
                <w:sz w:val="16"/>
                <w:szCs w:val="16"/>
              </w:rPr>
              <w:t>MoFuSS</w:t>
            </w:r>
            <w:proofErr w:type="spellEnd"/>
            <w:r w:rsidRPr="00941A70">
              <w:rPr>
                <w:rFonts w:eastAsia="Arial"/>
                <w:sz w:val="16"/>
                <w:szCs w:val="16"/>
              </w:rPr>
              <w:t xml:space="preserve"> tool’s use in the determination of the </w:t>
            </w:r>
            <w:proofErr w:type="spellStart"/>
            <w:r w:rsidRPr="00941A70">
              <w:rPr>
                <w:rFonts w:eastAsia="Arial"/>
                <w:sz w:val="16"/>
                <w:szCs w:val="16"/>
              </w:rPr>
              <w:t>fNRB</w:t>
            </w:r>
            <w:proofErr w:type="spellEnd"/>
            <w:r w:rsidRPr="00941A70">
              <w:rPr>
                <w:rFonts w:eastAsia="Arial"/>
                <w:sz w:val="16"/>
                <w:szCs w:val="16"/>
              </w:rPr>
              <w:t xml:space="preserve"> without independent validation or approval from a broad selection of experts in the biomass, forestry and geo-imaging industries. While the </w:t>
            </w:r>
            <w:proofErr w:type="spellStart"/>
            <w:r w:rsidR="00847B1A">
              <w:rPr>
                <w:rFonts w:eastAsia="Arial"/>
                <w:sz w:val="16"/>
                <w:szCs w:val="16"/>
              </w:rPr>
              <w:t>MoFuSS</w:t>
            </w:r>
            <w:proofErr w:type="spellEnd"/>
            <w:r w:rsidRPr="00941A70">
              <w:rPr>
                <w:rFonts w:eastAsia="Arial"/>
                <w:sz w:val="16"/>
                <w:szCs w:val="16"/>
              </w:rPr>
              <w:t xml:space="preserve"> tool has undergone peer review, the data inputs for </w:t>
            </w:r>
            <w:proofErr w:type="spellStart"/>
            <w:r w:rsidRPr="00941A70">
              <w:rPr>
                <w:rFonts w:eastAsia="Arial"/>
                <w:sz w:val="16"/>
                <w:szCs w:val="16"/>
              </w:rPr>
              <w:t>fNRB</w:t>
            </w:r>
            <w:proofErr w:type="spellEnd"/>
            <w:r w:rsidRPr="00941A70">
              <w:rPr>
                <w:rFonts w:eastAsia="Arial"/>
                <w:sz w:val="16"/>
                <w:szCs w:val="16"/>
              </w:rPr>
              <w:t xml:space="preserve"> computations have not, driving wide variance between the latest submission and the October defaults. We note with concern that there is a limited availability of individuals or organizations with the required combination of statistical, computing and forestry expertise that this model and its outputs require to assess.</w:t>
            </w:r>
            <w:r w:rsidRPr="00941A70">
              <w:rPr>
                <w:rFonts w:ascii="Times New Roman" w:hAnsi="Times New Roman" w:cs="Times New Roman"/>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1A6B8D32" w14:textId="77777777" w:rsidR="00483CEC" w:rsidRPr="00941A70" w:rsidRDefault="00483CEC" w:rsidP="00483CEC">
            <w:pPr>
              <w:jc w:val="left"/>
              <w:rPr>
                <w:rFonts w:eastAsia="Arial"/>
                <w:sz w:val="16"/>
                <w:szCs w:val="16"/>
              </w:rPr>
            </w:pPr>
            <w:r w:rsidRPr="00941A70">
              <w:rPr>
                <w:rFonts w:eastAsia="Arial"/>
                <w:sz w:val="16"/>
                <w:szCs w:val="16"/>
              </w:rPr>
              <w:t xml:space="preserve">In the absence of a governing framework that can review and certify the outputs of the model in real time, we observe a risk in adoption of values as presented in its current iteration, but also in future iterations of the tool or the underlying definitions of </w:t>
            </w:r>
            <w:proofErr w:type="spellStart"/>
            <w:r w:rsidRPr="00941A70">
              <w:rPr>
                <w:rFonts w:eastAsia="Arial"/>
                <w:sz w:val="16"/>
                <w:szCs w:val="16"/>
              </w:rPr>
              <w:t>fNRB</w:t>
            </w:r>
            <w:proofErr w:type="spellEnd"/>
            <w:r w:rsidRPr="00941A70">
              <w:rPr>
                <w:rFonts w:eastAsia="Arial"/>
                <w:sz w:val="16"/>
                <w:szCs w:val="16"/>
              </w:rPr>
              <w:t xml:space="preserve"> following these consultations.</w:t>
            </w:r>
          </w:p>
          <w:p w14:paraId="642AC573" w14:textId="2B146C37" w:rsidR="00483CEC" w:rsidRPr="00941A70" w:rsidRDefault="00483CEC" w:rsidP="00483CEC">
            <w:pPr>
              <w:spacing w:line="190" w:lineRule="exact"/>
              <w:jc w:val="left"/>
              <w:rPr>
                <w:rFonts w:eastAsia="Arial"/>
                <w:sz w:val="16"/>
                <w:szCs w:val="16"/>
              </w:rPr>
            </w:pPr>
            <w:r w:rsidRPr="00941A70">
              <w:rPr>
                <w:rFonts w:eastAsia="Arial"/>
                <w:sz w:val="16"/>
                <w:szCs w:val="16"/>
              </w:rPr>
              <w:t xml:space="preserve">We recommend that assumptions from global datasets are validated by ground </w:t>
            </w:r>
            <w:proofErr w:type="spellStart"/>
            <w:r w:rsidRPr="00941A70">
              <w:rPr>
                <w:rFonts w:eastAsia="Arial"/>
                <w:sz w:val="16"/>
                <w:szCs w:val="16"/>
              </w:rPr>
              <w:t>truthed</w:t>
            </w:r>
            <w:proofErr w:type="spellEnd"/>
            <w:r w:rsidRPr="00941A70">
              <w:rPr>
                <w:rFonts w:eastAsia="Arial"/>
                <w:sz w:val="16"/>
                <w:szCs w:val="16"/>
              </w:rPr>
              <w:t xml:space="preserve"> studies and approved by Host Country governments.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7E5A7E4" w14:textId="77777777" w:rsidR="00483CEC" w:rsidRDefault="00483CEC" w:rsidP="00483CEC">
            <w:pPr>
              <w:spacing w:line="190" w:lineRule="exact"/>
              <w:jc w:val="left"/>
              <w:rPr>
                <w:b/>
                <w:bCs/>
                <w:sz w:val="16"/>
                <w:szCs w:val="16"/>
              </w:rPr>
            </w:pPr>
          </w:p>
        </w:tc>
      </w:tr>
      <w:tr w:rsidR="00646E55" w14:paraId="0468FAE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2EA0264" w14:textId="5BA74458" w:rsidR="00646E55" w:rsidRPr="56C484A5" w:rsidRDefault="00646E55" w:rsidP="00646E55">
            <w:pPr>
              <w:spacing w:line="190" w:lineRule="exact"/>
              <w:jc w:val="left"/>
              <w:rPr>
                <w:b/>
                <w:bCs/>
                <w:sz w:val="16"/>
                <w:szCs w:val="16"/>
              </w:rPr>
            </w:pPr>
            <w:r>
              <w:rPr>
                <w:b/>
                <w:bCs/>
                <w:sz w:val="16"/>
                <w:szCs w:val="16"/>
              </w:rPr>
              <w:lastRenderedPageBreak/>
              <w:t>3</w:t>
            </w:r>
          </w:p>
        </w:tc>
        <w:tc>
          <w:tcPr>
            <w:tcW w:w="1425" w:type="dxa"/>
            <w:tcBorders>
              <w:top w:val="single" w:sz="6" w:space="0" w:color="auto"/>
              <w:left w:val="single" w:sz="6" w:space="0" w:color="auto"/>
              <w:bottom w:val="single" w:sz="6" w:space="0" w:color="auto"/>
              <w:right w:val="single" w:sz="6" w:space="0" w:color="auto"/>
            </w:tcBorders>
          </w:tcPr>
          <w:p w14:paraId="166AB1D1" w14:textId="64C60335" w:rsidR="00646E55" w:rsidRDefault="00646E55" w:rsidP="00646E55">
            <w:pPr>
              <w:spacing w:line="190" w:lineRule="exact"/>
              <w:jc w:val="left"/>
              <w:rPr>
                <w:b/>
                <w:bCs/>
                <w:sz w:val="16"/>
                <w:szCs w:val="16"/>
              </w:rPr>
            </w:pPr>
            <w:r>
              <w:rPr>
                <w:b/>
                <w:bCs/>
                <w:sz w:val="16"/>
                <w:szCs w:val="16"/>
              </w:rPr>
              <w:t>General</w:t>
            </w:r>
          </w:p>
        </w:tc>
        <w:tc>
          <w:tcPr>
            <w:tcW w:w="922" w:type="dxa"/>
            <w:gridSpan w:val="2"/>
            <w:tcBorders>
              <w:top w:val="single" w:sz="6" w:space="0" w:color="auto"/>
              <w:left w:val="single" w:sz="6" w:space="0" w:color="auto"/>
              <w:bottom w:val="single" w:sz="6" w:space="0" w:color="auto"/>
              <w:right w:val="single" w:sz="6" w:space="0" w:color="auto"/>
            </w:tcBorders>
          </w:tcPr>
          <w:p w14:paraId="1634504E" w14:textId="1B75E877" w:rsidR="00646E55" w:rsidRDefault="00646E55" w:rsidP="00646E55">
            <w:pPr>
              <w:spacing w:line="190" w:lineRule="exact"/>
              <w:jc w:val="left"/>
              <w:rPr>
                <w:rFonts w:eastAsia="Arial"/>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6FF98EB5" w14:textId="1563D967" w:rsidR="00646E55" w:rsidRPr="186F6602" w:rsidRDefault="00646E55" w:rsidP="00646E55">
            <w:pPr>
              <w:spacing w:line="190" w:lineRule="exact"/>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297F26D" w14:textId="16957128" w:rsidR="00646E55" w:rsidRPr="00941A70" w:rsidRDefault="00646E55" w:rsidP="00646E55">
            <w:pPr>
              <w:jc w:val="left"/>
              <w:rPr>
                <w:rFonts w:eastAsia="Arial"/>
                <w:b/>
                <w:bCs/>
                <w:sz w:val="16"/>
                <w:szCs w:val="16"/>
              </w:rPr>
            </w:pPr>
            <w:r w:rsidRPr="00941A70">
              <w:rPr>
                <w:rFonts w:eastAsia="Arial"/>
                <w:b/>
                <w:bCs/>
                <w:sz w:val="16"/>
                <w:szCs w:val="16"/>
              </w:rPr>
              <w:t>Timeline for Validation</w:t>
            </w:r>
          </w:p>
          <w:p w14:paraId="0A3C074F" w14:textId="77777777" w:rsidR="00646E55" w:rsidRPr="00941A70" w:rsidRDefault="00646E55" w:rsidP="00646E55">
            <w:pPr>
              <w:jc w:val="left"/>
              <w:rPr>
                <w:rFonts w:eastAsia="Arial"/>
                <w:sz w:val="16"/>
                <w:szCs w:val="16"/>
              </w:rPr>
            </w:pPr>
          </w:p>
          <w:p w14:paraId="3BF10EA8" w14:textId="0E788A4B" w:rsidR="00646E55" w:rsidRPr="00941A70" w:rsidRDefault="00646E55" w:rsidP="00646E55">
            <w:pPr>
              <w:jc w:val="left"/>
              <w:rPr>
                <w:rFonts w:eastAsia="Arial"/>
                <w:sz w:val="16"/>
                <w:szCs w:val="16"/>
              </w:rPr>
            </w:pPr>
            <w:r w:rsidRPr="00941A70">
              <w:rPr>
                <w:rFonts w:eastAsia="Arial"/>
                <w:sz w:val="16"/>
                <w:szCs w:val="16"/>
              </w:rPr>
              <w:t>The authors have referenced plans for external validation in the coming months. However, in our view the timelines and the funding for conducting such a review must be consistent with the respective workload, complexity, and aligned with the UNFCCC process, ensuring a broad participation of stakeholders.</w:t>
            </w:r>
          </w:p>
          <w:p w14:paraId="29CC1C46" w14:textId="77777777" w:rsidR="00646E55" w:rsidRPr="00941A70" w:rsidRDefault="00646E55" w:rsidP="00646E55">
            <w:pPr>
              <w:jc w:val="left"/>
              <w:rPr>
                <w:rFonts w:eastAsia="Arial"/>
                <w:sz w:val="16"/>
                <w:szCs w:val="16"/>
              </w:rPr>
            </w:pPr>
          </w:p>
          <w:p w14:paraId="166569B9" w14:textId="77777777" w:rsidR="00646E55" w:rsidRPr="00941A70" w:rsidRDefault="00646E55" w:rsidP="00646E55">
            <w:pPr>
              <w:jc w:val="left"/>
              <w:rPr>
                <w:rFonts w:eastAsia="Arial"/>
                <w:sz w:val="16"/>
                <w:szCs w:val="16"/>
              </w:rPr>
            </w:pPr>
            <w:r w:rsidRPr="00941A70">
              <w:rPr>
                <w:rFonts w:eastAsia="Arial"/>
                <w:sz w:val="16"/>
                <w:szCs w:val="16"/>
              </w:rPr>
              <w:t>Further, after the external validation is completed, a proper process should be established to enable improvements in the model and the use of input data as per availability of reliable sources.</w:t>
            </w:r>
          </w:p>
          <w:p w14:paraId="4B958BD7" w14:textId="77777777" w:rsidR="00646E55" w:rsidRPr="00941A70" w:rsidRDefault="00646E55" w:rsidP="00646E55">
            <w:pPr>
              <w:jc w:val="left"/>
              <w:rPr>
                <w:rFonts w:eastAsia="Arial"/>
                <w:sz w:val="16"/>
                <w:szCs w:val="16"/>
              </w:rPr>
            </w:pPr>
          </w:p>
          <w:p w14:paraId="43228255" w14:textId="77777777" w:rsidR="00646E55" w:rsidRPr="00941A70" w:rsidRDefault="00646E55" w:rsidP="00646E55">
            <w:pPr>
              <w:jc w:val="left"/>
              <w:rPr>
                <w:rFonts w:eastAsia="Arial"/>
                <w:sz w:val="16"/>
                <w:szCs w:val="16"/>
              </w:rPr>
            </w:pPr>
            <w:r w:rsidRPr="00941A70">
              <w:rPr>
                <w:rFonts w:eastAsia="Arial"/>
                <w:sz w:val="16"/>
                <w:szCs w:val="16"/>
              </w:rPr>
              <w:t>It has also been mentioned that there will be an open-access cloud-based version of the model, which will allow anyone to run it for an area of interest (country, project area, etc) and adjust parameters, without needing to download software or understand the underlying code. However, the timeline provided by the UNFCCC does not seem to be appropriate for such a development, as there would be no time to have this online tool ready before the Meth Panel meeting in September.</w:t>
            </w:r>
          </w:p>
          <w:p w14:paraId="53E4B5CE" w14:textId="77777777" w:rsidR="00646E55" w:rsidRPr="00941A70" w:rsidRDefault="00646E55" w:rsidP="00646E55">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67D2A92" w14:textId="6B604E16" w:rsidR="00646E55" w:rsidRPr="00941A70" w:rsidRDefault="00646E55" w:rsidP="00646E55">
            <w:pPr>
              <w:spacing w:line="190" w:lineRule="exact"/>
              <w:jc w:val="left"/>
              <w:rPr>
                <w:rFonts w:eastAsia="Arial"/>
                <w:sz w:val="16"/>
                <w:szCs w:val="16"/>
              </w:rPr>
            </w:pPr>
            <w:r w:rsidRPr="00941A70">
              <w:rPr>
                <w:rFonts w:eastAsia="Arial"/>
                <w:sz w:val="16"/>
                <w:szCs w:val="16"/>
              </w:rPr>
              <w:t xml:space="preserve">We suggest to the CDM/UNFCCC that a clear process is established for validating the work before it gets approved as well as for managing future developments and updates. The process would be communicated to relevant stakeholders, with details including timelines, funding, and tools for the external validation/calibration of the latest version of </w:t>
            </w:r>
            <w:proofErr w:type="spellStart"/>
            <w:r w:rsidR="00847B1A">
              <w:rPr>
                <w:rFonts w:eastAsia="Arial"/>
                <w:sz w:val="16"/>
                <w:szCs w:val="16"/>
              </w:rPr>
              <w:t>MoFuSS</w:t>
            </w:r>
            <w:proofErr w:type="spellEnd"/>
            <w:r w:rsidRPr="00941A70">
              <w:rPr>
                <w:rFonts w:eastAsia="Arial"/>
                <w:sz w:val="16"/>
                <w:szCs w:val="16"/>
              </w:rPr>
              <w:t xml:space="preserve"> model and its results.</w:t>
            </w:r>
          </w:p>
          <w:p w14:paraId="484DABC4" w14:textId="77777777" w:rsidR="00646E55" w:rsidRPr="00941A70" w:rsidRDefault="00646E55" w:rsidP="00646E55">
            <w:pPr>
              <w:spacing w:line="190" w:lineRule="exact"/>
              <w:jc w:val="left"/>
              <w:rPr>
                <w:rFonts w:eastAsia="Arial"/>
                <w:sz w:val="16"/>
                <w:szCs w:val="16"/>
              </w:rPr>
            </w:pPr>
          </w:p>
          <w:p w14:paraId="081F8A03" w14:textId="2650B811" w:rsidR="00646E55" w:rsidRPr="00941A70" w:rsidRDefault="00646E55" w:rsidP="00646E55">
            <w:pPr>
              <w:spacing w:line="190" w:lineRule="exact"/>
              <w:jc w:val="left"/>
              <w:rPr>
                <w:rFonts w:eastAsia="Arial"/>
                <w:sz w:val="16"/>
                <w:szCs w:val="16"/>
              </w:rPr>
            </w:pPr>
            <w:proofErr w:type="gramStart"/>
            <w:r w:rsidRPr="00941A70">
              <w:rPr>
                <w:rFonts w:eastAsia="Arial"/>
                <w:sz w:val="16"/>
                <w:szCs w:val="16"/>
              </w:rPr>
              <w:t>In particular, please</w:t>
            </w:r>
            <w:proofErr w:type="gramEnd"/>
            <w:r w:rsidRPr="00941A70">
              <w:rPr>
                <w:rFonts w:eastAsia="Arial"/>
                <w:sz w:val="16"/>
                <w:szCs w:val="16"/>
              </w:rPr>
              <w:t xml:space="preserve"> advise on opportunities for stakeholder engagement on this issue after September 2024. What happens to this feedback when the transition from the CDM to the Article 6.4 SB happens?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CFE5754" w14:textId="77777777" w:rsidR="00646E55" w:rsidRDefault="00646E55" w:rsidP="00646E55">
            <w:pPr>
              <w:spacing w:line="190" w:lineRule="exact"/>
              <w:jc w:val="left"/>
              <w:rPr>
                <w:b/>
                <w:bCs/>
                <w:sz w:val="16"/>
                <w:szCs w:val="16"/>
              </w:rPr>
            </w:pPr>
          </w:p>
        </w:tc>
      </w:tr>
      <w:tr w:rsidR="001C7FCF" w14:paraId="1D606BA1"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7323EE2" w14:textId="57A16B96" w:rsidR="001C7FCF" w:rsidRDefault="00C3695D" w:rsidP="001C7FCF">
            <w:pPr>
              <w:spacing w:line="190" w:lineRule="exact"/>
              <w:jc w:val="left"/>
              <w:rPr>
                <w:b/>
                <w:bCs/>
                <w:sz w:val="16"/>
                <w:szCs w:val="16"/>
              </w:rPr>
            </w:pPr>
            <w:r>
              <w:rPr>
                <w:b/>
                <w:bCs/>
                <w:sz w:val="16"/>
                <w:szCs w:val="16"/>
              </w:rPr>
              <w:t>4</w:t>
            </w:r>
          </w:p>
        </w:tc>
        <w:tc>
          <w:tcPr>
            <w:tcW w:w="1425" w:type="dxa"/>
            <w:tcBorders>
              <w:top w:val="single" w:sz="6" w:space="0" w:color="auto"/>
              <w:left w:val="single" w:sz="6" w:space="0" w:color="auto"/>
              <w:bottom w:val="single" w:sz="6" w:space="0" w:color="auto"/>
              <w:right w:val="single" w:sz="6" w:space="0" w:color="auto"/>
            </w:tcBorders>
          </w:tcPr>
          <w:p w14:paraId="6DA34009" w14:textId="793C9DB0" w:rsidR="001C7FCF" w:rsidRDefault="001C7FCF" w:rsidP="001C7FCF">
            <w:pPr>
              <w:spacing w:line="190" w:lineRule="exact"/>
              <w:jc w:val="left"/>
              <w:rPr>
                <w:b/>
                <w:bCs/>
                <w:sz w:val="16"/>
                <w:szCs w:val="16"/>
              </w:rPr>
            </w:pPr>
            <w:r>
              <w:rPr>
                <w:b/>
                <w:bCs/>
                <w:sz w:val="16"/>
                <w:szCs w:val="16"/>
              </w:rPr>
              <w:t>General</w:t>
            </w:r>
          </w:p>
        </w:tc>
        <w:tc>
          <w:tcPr>
            <w:tcW w:w="922" w:type="dxa"/>
            <w:gridSpan w:val="2"/>
            <w:tcBorders>
              <w:top w:val="single" w:sz="6" w:space="0" w:color="auto"/>
              <w:left w:val="single" w:sz="6" w:space="0" w:color="auto"/>
              <w:bottom w:val="single" w:sz="6" w:space="0" w:color="auto"/>
              <w:right w:val="single" w:sz="6" w:space="0" w:color="auto"/>
            </w:tcBorders>
          </w:tcPr>
          <w:p w14:paraId="2ADC949A" w14:textId="257A4F84" w:rsidR="001C7FCF" w:rsidRDefault="001C7FCF" w:rsidP="001C7FCF">
            <w:pPr>
              <w:spacing w:line="190" w:lineRule="exact"/>
              <w:jc w:val="left"/>
              <w:rPr>
                <w:rFonts w:eastAsia="Arial"/>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6B3DB12F" w14:textId="6049480D" w:rsidR="001C7FCF" w:rsidRPr="186F6602" w:rsidRDefault="001C7FCF" w:rsidP="001C7FCF">
            <w:pPr>
              <w:spacing w:line="190" w:lineRule="exact"/>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76F5921F"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Validation of sub-national defaults</w:t>
            </w:r>
          </w:p>
          <w:p w14:paraId="4DF590C4" w14:textId="2EFF1B2E" w:rsidR="001C7FCF" w:rsidRPr="00941A70" w:rsidRDefault="001C7FCF" w:rsidP="001C7FCF">
            <w:pPr>
              <w:jc w:val="left"/>
              <w:rPr>
                <w:rFonts w:eastAsia="Arial"/>
                <w:sz w:val="16"/>
                <w:szCs w:val="16"/>
              </w:rPr>
            </w:pPr>
            <w:r w:rsidRPr="00941A70">
              <w:rPr>
                <w:rFonts w:eastAsia="Arial"/>
                <w:sz w:val="16"/>
                <w:szCs w:val="16"/>
              </w:rPr>
              <w:t xml:space="preserve">The intention is that project developers can use an open-access tool to generate sub-national defaults. We welcome this, but question what framework will be provided to VVBs to validate the numbers generated by project developers based on project or sub-national boundaries. </w:t>
            </w:r>
          </w:p>
          <w:p w14:paraId="38C33EBA" w14:textId="210D6F89" w:rsidR="001C7FCF" w:rsidRPr="00941A70" w:rsidRDefault="001C7FCF" w:rsidP="001C7FCF">
            <w:pPr>
              <w:jc w:val="left"/>
              <w:rPr>
                <w:rFonts w:eastAsia="Arial"/>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54A39B7" w14:textId="7416B9F2" w:rsidR="001C7FCF" w:rsidRPr="00941A70" w:rsidRDefault="001C7FCF" w:rsidP="001C7FCF">
            <w:pPr>
              <w:spacing w:line="190" w:lineRule="exact"/>
              <w:jc w:val="left"/>
              <w:rPr>
                <w:rFonts w:eastAsia="Arial"/>
                <w:sz w:val="16"/>
                <w:szCs w:val="16"/>
              </w:rPr>
            </w:pPr>
            <w:r w:rsidRPr="00941A70">
              <w:rPr>
                <w:rFonts w:eastAsia="Arial"/>
                <w:sz w:val="16"/>
                <w:szCs w:val="16"/>
              </w:rPr>
              <w:t xml:space="preserve">Please develop guidelines for VVBs to validate </w:t>
            </w:r>
            <w:proofErr w:type="spellStart"/>
            <w:r w:rsidR="00847B1A">
              <w:rPr>
                <w:rFonts w:eastAsia="Arial"/>
                <w:sz w:val="16"/>
                <w:szCs w:val="16"/>
              </w:rPr>
              <w:t>MoFuSS</w:t>
            </w:r>
            <w:proofErr w:type="spellEnd"/>
            <w:r w:rsidRPr="00941A70">
              <w:rPr>
                <w:rFonts w:eastAsia="Arial"/>
                <w:sz w:val="16"/>
                <w:szCs w:val="16"/>
              </w:rPr>
              <w:t xml:space="preserve"> derived sub-national or project </w:t>
            </w:r>
            <w:proofErr w:type="spellStart"/>
            <w:r w:rsidRPr="00941A70">
              <w:rPr>
                <w:rFonts w:eastAsia="Arial"/>
                <w:sz w:val="16"/>
                <w:szCs w:val="16"/>
              </w:rPr>
              <w:t>fNRB</w:t>
            </w:r>
            <w:proofErr w:type="spellEnd"/>
            <w:r w:rsidRPr="00941A70">
              <w:rPr>
                <w:rFonts w:eastAsia="Arial"/>
                <w:sz w:val="16"/>
                <w:szCs w:val="16"/>
              </w:rPr>
              <w:t xml:space="preserve"> values.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B94FAA4" w14:textId="77777777" w:rsidR="001C7FCF" w:rsidRDefault="001C7FCF" w:rsidP="001C7FCF">
            <w:pPr>
              <w:spacing w:line="190" w:lineRule="exact"/>
              <w:jc w:val="left"/>
              <w:rPr>
                <w:b/>
                <w:bCs/>
                <w:sz w:val="16"/>
                <w:szCs w:val="16"/>
              </w:rPr>
            </w:pPr>
          </w:p>
        </w:tc>
      </w:tr>
      <w:tr w:rsidR="001C7FCF" w14:paraId="0A45F4B6"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30F17DC" w14:textId="4917C237" w:rsidR="001C7FCF" w:rsidRPr="56C484A5" w:rsidRDefault="002C1B9B" w:rsidP="001C7FCF">
            <w:pPr>
              <w:spacing w:line="190" w:lineRule="exact"/>
              <w:jc w:val="left"/>
              <w:rPr>
                <w:b/>
                <w:bCs/>
                <w:sz w:val="16"/>
                <w:szCs w:val="16"/>
              </w:rPr>
            </w:pPr>
            <w:r>
              <w:rPr>
                <w:b/>
                <w:bCs/>
                <w:sz w:val="16"/>
                <w:szCs w:val="16"/>
              </w:rPr>
              <w:lastRenderedPageBreak/>
              <w:t>5</w:t>
            </w:r>
          </w:p>
        </w:tc>
        <w:tc>
          <w:tcPr>
            <w:tcW w:w="1425" w:type="dxa"/>
            <w:tcBorders>
              <w:top w:val="single" w:sz="6" w:space="0" w:color="auto"/>
              <w:left w:val="single" w:sz="6" w:space="0" w:color="auto"/>
              <w:bottom w:val="single" w:sz="6" w:space="0" w:color="auto"/>
              <w:right w:val="single" w:sz="6" w:space="0" w:color="auto"/>
            </w:tcBorders>
          </w:tcPr>
          <w:p w14:paraId="251358AC" w14:textId="704FDD49" w:rsidR="001C7FCF" w:rsidRPr="186F6602" w:rsidRDefault="001C7FCF" w:rsidP="001C7FCF">
            <w:pPr>
              <w:spacing w:line="190" w:lineRule="exact"/>
              <w:jc w:val="left"/>
              <w:rPr>
                <w:b/>
                <w:bCs/>
                <w:sz w:val="16"/>
                <w:szCs w:val="16"/>
              </w:rPr>
            </w:pPr>
            <w:r>
              <w:rPr>
                <w:b/>
                <w:bCs/>
                <w:sz w:val="16"/>
                <w:szCs w:val="16"/>
              </w:rPr>
              <w:t>General</w:t>
            </w:r>
          </w:p>
        </w:tc>
        <w:tc>
          <w:tcPr>
            <w:tcW w:w="922" w:type="dxa"/>
            <w:gridSpan w:val="2"/>
            <w:tcBorders>
              <w:top w:val="single" w:sz="6" w:space="0" w:color="auto"/>
              <w:left w:val="single" w:sz="6" w:space="0" w:color="auto"/>
              <w:bottom w:val="single" w:sz="6" w:space="0" w:color="auto"/>
              <w:right w:val="single" w:sz="6" w:space="0" w:color="auto"/>
            </w:tcBorders>
          </w:tcPr>
          <w:p w14:paraId="723D7ACD" w14:textId="42E92292"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3B9CECC7" w14:textId="219F63A8" w:rsidR="001C7FCF" w:rsidRPr="186F6602" w:rsidRDefault="001C7FCF" w:rsidP="001C7FCF">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5B54440" w14:textId="4CD5E183" w:rsidR="001C7FCF" w:rsidRPr="00941A70" w:rsidRDefault="001C7FCF" w:rsidP="001C7FCF">
            <w:pPr>
              <w:spacing w:before="40" w:after="40"/>
              <w:jc w:val="left"/>
              <w:rPr>
                <w:rFonts w:eastAsia="Arial"/>
                <w:b/>
                <w:bCs/>
                <w:sz w:val="16"/>
                <w:szCs w:val="16"/>
              </w:rPr>
            </w:pPr>
            <w:proofErr w:type="spellStart"/>
            <w:r w:rsidRPr="00941A70">
              <w:rPr>
                <w:rFonts w:eastAsia="Arial"/>
                <w:b/>
                <w:bCs/>
                <w:sz w:val="16"/>
                <w:szCs w:val="16"/>
              </w:rPr>
              <w:t>fNRB</w:t>
            </w:r>
            <w:proofErr w:type="spellEnd"/>
            <w:r w:rsidRPr="00941A70">
              <w:rPr>
                <w:rFonts w:eastAsia="Arial"/>
                <w:b/>
                <w:bCs/>
                <w:sz w:val="16"/>
                <w:szCs w:val="16"/>
              </w:rPr>
              <w:t xml:space="preserve"> as a marginal variable</w:t>
            </w:r>
          </w:p>
          <w:p w14:paraId="1EE61F67" w14:textId="2AFB4767" w:rsidR="000C43C0" w:rsidRDefault="00543655" w:rsidP="001C7FCF">
            <w:pPr>
              <w:spacing w:before="40" w:after="40"/>
              <w:jc w:val="left"/>
              <w:rPr>
                <w:rFonts w:eastAsia="Arial"/>
                <w:sz w:val="16"/>
                <w:szCs w:val="16"/>
              </w:rPr>
            </w:pPr>
            <w:r>
              <w:rPr>
                <w:rFonts w:eastAsia="Arial"/>
                <w:sz w:val="16"/>
                <w:szCs w:val="16"/>
              </w:rPr>
              <w:t xml:space="preserve">Members of the PD Forum have been </w:t>
            </w:r>
            <w:r w:rsidR="00B41A57">
              <w:rPr>
                <w:rFonts w:eastAsia="Arial"/>
                <w:sz w:val="16"/>
                <w:szCs w:val="16"/>
              </w:rPr>
              <w:t xml:space="preserve">exploring a marginal approach to </w:t>
            </w:r>
            <w:proofErr w:type="spellStart"/>
            <w:r w:rsidR="00B41A57">
              <w:rPr>
                <w:rFonts w:eastAsia="Arial"/>
                <w:sz w:val="16"/>
                <w:szCs w:val="16"/>
              </w:rPr>
              <w:t>fNRB</w:t>
            </w:r>
            <w:proofErr w:type="spellEnd"/>
            <w:r w:rsidR="000C43C0">
              <w:rPr>
                <w:rFonts w:eastAsia="Arial"/>
                <w:sz w:val="16"/>
                <w:szCs w:val="16"/>
              </w:rPr>
              <w:t xml:space="preserve"> which we believe warrants further exploration. </w:t>
            </w:r>
          </w:p>
          <w:p w14:paraId="0E3604BC" w14:textId="0FF79BD7" w:rsidR="00B66D23" w:rsidRDefault="000F52D2" w:rsidP="001C7FCF">
            <w:pPr>
              <w:spacing w:before="40" w:after="40"/>
              <w:jc w:val="left"/>
              <w:rPr>
                <w:rFonts w:eastAsia="Arial"/>
                <w:sz w:val="16"/>
                <w:szCs w:val="16"/>
              </w:rPr>
            </w:pPr>
            <w:r>
              <w:rPr>
                <w:rFonts w:eastAsia="Arial"/>
                <w:sz w:val="16"/>
                <w:szCs w:val="16"/>
              </w:rPr>
              <w:t xml:space="preserve">At present the </w:t>
            </w:r>
            <w:proofErr w:type="spellStart"/>
            <w:r w:rsidR="00847B1A">
              <w:rPr>
                <w:rFonts w:eastAsia="Arial"/>
                <w:sz w:val="16"/>
                <w:szCs w:val="16"/>
              </w:rPr>
              <w:t>MoFuSS</w:t>
            </w:r>
            <w:proofErr w:type="spellEnd"/>
            <w:r>
              <w:rPr>
                <w:rFonts w:eastAsia="Arial"/>
                <w:sz w:val="16"/>
                <w:szCs w:val="16"/>
              </w:rPr>
              <w:t xml:space="preserve"> model considers the non-renewability of the total harvest</w:t>
            </w:r>
            <w:r w:rsidR="00B2283B">
              <w:rPr>
                <w:rFonts w:eastAsia="Arial"/>
                <w:sz w:val="16"/>
                <w:szCs w:val="16"/>
              </w:rPr>
              <w:t xml:space="preserve"> across a landscape, but we </w:t>
            </w:r>
            <w:r w:rsidR="0087191D">
              <w:rPr>
                <w:rFonts w:eastAsia="Arial"/>
                <w:sz w:val="16"/>
                <w:szCs w:val="16"/>
              </w:rPr>
              <w:t xml:space="preserve">suggest that </w:t>
            </w:r>
            <w:proofErr w:type="spellStart"/>
            <w:r w:rsidR="0087191D">
              <w:rPr>
                <w:rFonts w:eastAsia="Arial"/>
                <w:sz w:val="16"/>
                <w:szCs w:val="16"/>
              </w:rPr>
              <w:t>fNRB</w:t>
            </w:r>
            <w:proofErr w:type="spellEnd"/>
            <w:r w:rsidR="0087191D">
              <w:rPr>
                <w:rFonts w:eastAsia="Arial"/>
                <w:sz w:val="16"/>
                <w:szCs w:val="16"/>
              </w:rPr>
              <w:t xml:space="preserve"> should instead </w:t>
            </w:r>
            <w:r w:rsidR="003945B2">
              <w:rPr>
                <w:rFonts w:eastAsia="Arial"/>
                <w:sz w:val="16"/>
                <w:szCs w:val="16"/>
              </w:rPr>
              <w:t xml:space="preserve">consider the non-renewability of a </w:t>
            </w:r>
            <w:r w:rsidR="003945B2" w:rsidRPr="000C43C0">
              <w:rPr>
                <w:rFonts w:eastAsia="Arial"/>
                <w:b/>
                <w:bCs/>
                <w:sz w:val="16"/>
                <w:szCs w:val="16"/>
                <w:u w:val="single"/>
              </w:rPr>
              <w:t>reduction</w:t>
            </w:r>
            <w:r w:rsidR="003945B2">
              <w:rPr>
                <w:rFonts w:eastAsia="Arial"/>
                <w:sz w:val="16"/>
                <w:szCs w:val="16"/>
              </w:rPr>
              <w:t xml:space="preserve"> in harvest.</w:t>
            </w:r>
            <w:r w:rsidR="00EE1121">
              <w:rPr>
                <w:rFonts w:eastAsia="Arial"/>
                <w:sz w:val="16"/>
                <w:szCs w:val="16"/>
              </w:rPr>
              <w:t xml:space="preserve"> This would bring cookstove carbon crediting in line with </w:t>
            </w:r>
            <w:r w:rsidR="000C43C0" w:rsidRPr="000C43C0">
              <w:rPr>
                <w:rFonts w:eastAsia="Arial"/>
                <w:sz w:val="16"/>
                <w:szCs w:val="16"/>
              </w:rPr>
              <w:t xml:space="preserve">the emission reduction approach in energy efficiency projects </w:t>
            </w:r>
            <w:r w:rsidR="000C43C0">
              <w:rPr>
                <w:rFonts w:eastAsia="Arial"/>
                <w:sz w:val="16"/>
                <w:szCs w:val="16"/>
              </w:rPr>
              <w:t xml:space="preserve">where the methodology </w:t>
            </w:r>
            <w:r w:rsidR="000C43C0" w:rsidRPr="000C43C0">
              <w:rPr>
                <w:rFonts w:eastAsia="Arial"/>
                <w:sz w:val="16"/>
                <w:szCs w:val="16"/>
              </w:rPr>
              <w:t>(e.g. AMS II.C)</w:t>
            </w:r>
            <w:r w:rsidR="000C43C0">
              <w:rPr>
                <w:rFonts w:eastAsia="Arial"/>
                <w:sz w:val="16"/>
                <w:szCs w:val="16"/>
              </w:rPr>
              <w:t xml:space="preserve"> </w:t>
            </w:r>
            <w:r w:rsidR="000C43C0" w:rsidRPr="000C43C0">
              <w:rPr>
                <w:rFonts w:eastAsia="Arial"/>
                <w:sz w:val="16"/>
                <w:szCs w:val="16"/>
              </w:rPr>
              <w:t>uses a marginal grid emission factor.</w:t>
            </w:r>
          </w:p>
          <w:p w14:paraId="0E7AD01D" w14:textId="23DD38E5" w:rsidR="00B66D23" w:rsidRDefault="006310AE" w:rsidP="001C7FCF">
            <w:pPr>
              <w:spacing w:before="40" w:after="40"/>
              <w:jc w:val="left"/>
              <w:rPr>
                <w:rFonts w:eastAsia="Aptos"/>
                <w:sz w:val="16"/>
                <w:szCs w:val="16"/>
              </w:rPr>
            </w:pPr>
            <w:r>
              <w:rPr>
                <w:rFonts w:eastAsia="Arial"/>
                <w:sz w:val="16"/>
                <w:szCs w:val="16"/>
              </w:rPr>
              <w:t>T</w:t>
            </w:r>
            <w:r w:rsidR="003945B2">
              <w:rPr>
                <w:rFonts w:eastAsia="Arial"/>
                <w:sz w:val="16"/>
                <w:szCs w:val="16"/>
              </w:rPr>
              <w:t xml:space="preserve">he original definition of </w:t>
            </w:r>
            <w:proofErr w:type="spellStart"/>
            <w:r w:rsidR="003945B2">
              <w:rPr>
                <w:rFonts w:eastAsia="Arial"/>
                <w:sz w:val="16"/>
                <w:szCs w:val="16"/>
              </w:rPr>
              <w:t>fNRB</w:t>
            </w:r>
            <w:proofErr w:type="spellEnd"/>
            <w:r w:rsidR="003945B2">
              <w:rPr>
                <w:rFonts w:eastAsia="Arial"/>
                <w:sz w:val="16"/>
                <w:szCs w:val="16"/>
              </w:rPr>
              <w:t xml:space="preserve"> from 2012 </w:t>
            </w:r>
            <w:r>
              <w:rPr>
                <w:rFonts w:eastAsia="Arial"/>
                <w:sz w:val="16"/>
                <w:szCs w:val="16"/>
              </w:rPr>
              <w:t xml:space="preserve">required </w:t>
            </w:r>
            <w:r w:rsidRPr="00941A70">
              <w:rPr>
                <w:rFonts w:eastAsia="Aptos"/>
                <w:sz w:val="16"/>
                <w:szCs w:val="16"/>
              </w:rPr>
              <w:t xml:space="preserve">PDs </w:t>
            </w:r>
            <w:r>
              <w:rPr>
                <w:rFonts w:eastAsia="Aptos"/>
                <w:sz w:val="16"/>
                <w:szCs w:val="16"/>
              </w:rPr>
              <w:t xml:space="preserve">to demonstrate </w:t>
            </w:r>
            <w:r w:rsidRPr="00941A70">
              <w:rPr>
                <w:rFonts w:eastAsia="Aptos"/>
                <w:sz w:val="16"/>
                <w:szCs w:val="16"/>
              </w:rPr>
              <w:t>a harvest</w:t>
            </w:r>
            <w:r w:rsidR="00805ADC">
              <w:rPr>
                <w:rFonts w:eastAsia="Aptos"/>
                <w:sz w:val="16"/>
                <w:szCs w:val="16"/>
              </w:rPr>
              <w:t>ing</w:t>
            </w:r>
            <w:r w:rsidRPr="00941A70">
              <w:rPr>
                <w:rFonts w:eastAsia="Aptos"/>
                <w:sz w:val="16"/>
                <w:szCs w:val="16"/>
              </w:rPr>
              <w:t xml:space="preserve"> dynamic</w:t>
            </w:r>
            <w:r w:rsidR="00805ADC">
              <w:rPr>
                <w:rFonts w:eastAsia="Aptos"/>
                <w:sz w:val="16"/>
                <w:szCs w:val="16"/>
              </w:rPr>
              <w:t xml:space="preserve"> of</w:t>
            </w:r>
            <w:r w:rsidRPr="00941A70">
              <w:rPr>
                <w:rFonts w:eastAsia="Aptos"/>
                <w:sz w:val="16"/>
                <w:szCs w:val="16"/>
              </w:rPr>
              <w:t xml:space="preserve"> increasing </w:t>
            </w:r>
            <w:r w:rsidR="00805ADC" w:rsidRPr="00941A70">
              <w:rPr>
                <w:rFonts w:eastAsia="Aptos"/>
                <w:sz w:val="16"/>
                <w:szCs w:val="16"/>
              </w:rPr>
              <w:t xml:space="preserve">biomass </w:t>
            </w:r>
            <w:r w:rsidRPr="00941A70">
              <w:rPr>
                <w:rFonts w:eastAsia="Aptos"/>
                <w:sz w:val="16"/>
                <w:szCs w:val="16"/>
              </w:rPr>
              <w:t>scarcity</w:t>
            </w:r>
            <w:r w:rsidR="00805ADC">
              <w:rPr>
                <w:rFonts w:eastAsia="Aptos"/>
                <w:sz w:val="16"/>
                <w:szCs w:val="16"/>
              </w:rPr>
              <w:t xml:space="preserve"> </w:t>
            </w:r>
            <w:r w:rsidR="003323BA">
              <w:rPr>
                <w:rFonts w:eastAsia="Arial"/>
                <w:sz w:val="16"/>
                <w:szCs w:val="16"/>
              </w:rPr>
              <w:t xml:space="preserve">(CDM SSC </w:t>
            </w:r>
            <w:r w:rsidR="004068B7">
              <w:rPr>
                <w:rFonts w:eastAsia="Arial"/>
                <w:sz w:val="16"/>
                <w:szCs w:val="16"/>
              </w:rPr>
              <w:t>WG 35, Annex 20)</w:t>
            </w:r>
            <w:r w:rsidR="00805ADC">
              <w:rPr>
                <w:rFonts w:eastAsia="Arial"/>
                <w:sz w:val="16"/>
                <w:szCs w:val="16"/>
              </w:rPr>
              <w:t xml:space="preserve">. This implicitly considered </w:t>
            </w:r>
            <w:proofErr w:type="spellStart"/>
            <w:r w:rsidR="00805ADC">
              <w:rPr>
                <w:rFonts w:eastAsia="Arial"/>
                <w:sz w:val="16"/>
                <w:szCs w:val="16"/>
              </w:rPr>
              <w:t>fNRB</w:t>
            </w:r>
            <w:proofErr w:type="spellEnd"/>
            <w:r w:rsidR="00805ADC">
              <w:rPr>
                <w:rFonts w:eastAsia="Arial"/>
                <w:sz w:val="16"/>
                <w:szCs w:val="16"/>
              </w:rPr>
              <w:t xml:space="preserve"> as a marginal variable</w:t>
            </w:r>
            <w:r w:rsidR="00B6757B">
              <w:rPr>
                <w:rFonts w:eastAsia="Arial"/>
                <w:sz w:val="16"/>
                <w:szCs w:val="16"/>
              </w:rPr>
              <w:t xml:space="preserve">. </w:t>
            </w:r>
            <w:r w:rsidR="00B6757B" w:rsidRPr="00941A70">
              <w:rPr>
                <w:rFonts w:eastAsia="Aptos"/>
                <w:sz w:val="16"/>
                <w:szCs w:val="16"/>
              </w:rPr>
              <w:t xml:space="preserve">However, in 2017, </w:t>
            </w:r>
            <w:proofErr w:type="spellStart"/>
            <w:r w:rsidR="00B6757B" w:rsidRPr="00941A70">
              <w:rPr>
                <w:rFonts w:eastAsia="Aptos"/>
                <w:sz w:val="16"/>
                <w:szCs w:val="16"/>
              </w:rPr>
              <w:t>fNRB</w:t>
            </w:r>
            <w:proofErr w:type="spellEnd"/>
            <w:r w:rsidR="00B6757B" w:rsidRPr="00941A70">
              <w:rPr>
                <w:rFonts w:eastAsia="Aptos"/>
                <w:sz w:val="16"/>
                <w:szCs w:val="16"/>
              </w:rPr>
              <w:t xml:space="preserve"> was redefined as a fraction of all the wood stock available, without a corresponding update being made to the ER calculations to account for the new meaning. This definition change could explain the gap between the original CDM defaults (~90%) and the new defaults generated by </w:t>
            </w:r>
            <w:proofErr w:type="spellStart"/>
            <w:r w:rsidR="00847B1A">
              <w:rPr>
                <w:rFonts w:eastAsia="Aptos"/>
                <w:sz w:val="16"/>
                <w:szCs w:val="16"/>
              </w:rPr>
              <w:t>MoFuSS</w:t>
            </w:r>
            <w:proofErr w:type="spellEnd"/>
            <w:r w:rsidR="00B6757B" w:rsidRPr="00941A70">
              <w:rPr>
                <w:rFonts w:eastAsia="Aptos"/>
                <w:sz w:val="16"/>
                <w:szCs w:val="16"/>
              </w:rPr>
              <w:t xml:space="preserve"> (~30-50%). </w:t>
            </w:r>
          </w:p>
          <w:p w14:paraId="0E347420" w14:textId="52D2F375" w:rsidR="001C7FCF" w:rsidRPr="002A3C56" w:rsidRDefault="002009F6" w:rsidP="002A3C56">
            <w:pPr>
              <w:spacing w:before="40" w:after="40"/>
              <w:jc w:val="left"/>
              <w:rPr>
                <w:rFonts w:eastAsia="Arial"/>
                <w:sz w:val="16"/>
                <w:szCs w:val="16"/>
              </w:rPr>
            </w:pPr>
            <w:r>
              <w:rPr>
                <w:rFonts w:eastAsia="Aptos"/>
                <w:sz w:val="16"/>
                <w:szCs w:val="16"/>
              </w:rPr>
              <w:t xml:space="preserve">Further research is needed to </w:t>
            </w:r>
            <w:r w:rsidR="00861871">
              <w:rPr>
                <w:rFonts w:eastAsia="Aptos"/>
                <w:sz w:val="16"/>
                <w:szCs w:val="16"/>
              </w:rPr>
              <w:t xml:space="preserve">explore the implications of a marginal </w:t>
            </w:r>
            <w:proofErr w:type="spellStart"/>
            <w:r w:rsidR="00861871">
              <w:rPr>
                <w:rFonts w:eastAsia="Aptos"/>
                <w:sz w:val="16"/>
                <w:szCs w:val="16"/>
              </w:rPr>
              <w:t>fNRB</w:t>
            </w:r>
            <w:proofErr w:type="spellEnd"/>
            <w:r w:rsidR="00861871">
              <w:rPr>
                <w:rFonts w:eastAsia="Aptos"/>
                <w:sz w:val="16"/>
                <w:szCs w:val="16"/>
              </w:rPr>
              <w:t xml:space="preserve">. We understand that </w:t>
            </w:r>
            <w:proofErr w:type="spellStart"/>
            <w:r w:rsidR="00847B1A">
              <w:rPr>
                <w:rFonts w:eastAsia="Aptos"/>
                <w:sz w:val="16"/>
                <w:szCs w:val="16"/>
              </w:rPr>
              <w:t>MoFuSS</w:t>
            </w:r>
            <w:proofErr w:type="spellEnd"/>
            <w:r w:rsidR="00861871">
              <w:rPr>
                <w:rFonts w:eastAsia="Aptos"/>
                <w:sz w:val="16"/>
                <w:szCs w:val="16"/>
              </w:rPr>
              <w:t xml:space="preserve"> was designed to </w:t>
            </w:r>
            <w:r w:rsidR="0041494C">
              <w:rPr>
                <w:rFonts w:eastAsia="Aptos"/>
                <w:sz w:val="16"/>
                <w:szCs w:val="16"/>
              </w:rPr>
              <w:t xml:space="preserve">compare baseline and intervention scenarios, and that it is therefore well-suited to generating marginal defaults. </w:t>
            </w:r>
            <w:r w:rsidR="00B6757B">
              <w:rPr>
                <w:rFonts w:eastAsia="Arial"/>
                <w:sz w:val="16"/>
                <w:szCs w:val="16"/>
              </w:rPr>
              <w:t xml:space="preserve">We </w:t>
            </w:r>
            <w:r w:rsidR="002A3C56">
              <w:rPr>
                <w:rFonts w:eastAsia="Arial"/>
                <w:sz w:val="16"/>
                <w:szCs w:val="16"/>
              </w:rPr>
              <w:t xml:space="preserve">recommend that this work is commissioned, and that </w:t>
            </w:r>
            <w:proofErr w:type="spellStart"/>
            <w:r w:rsidR="00847B1A">
              <w:rPr>
                <w:rFonts w:eastAsia="Arial"/>
                <w:sz w:val="16"/>
                <w:szCs w:val="16"/>
              </w:rPr>
              <w:t>MoFuSS</w:t>
            </w:r>
            <w:proofErr w:type="spellEnd"/>
            <w:r w:rsidR="002E03C6">
              <w:rPr>
                <w:rFonts w:eastAsia="Arial"/>
                <w:sz w:val="16"/>
                <w:szCs w:val="16"/>
              </w:rPr>
              <w:t xml:space="preserve"> be used to</w:t>
            </w:r>
            <w:r w:rsidR="00A10108">
              <w:rPr>
                <w:rFonts w:eastAsia="Arial"/>
                <w:sz w:val="16"/>
                <w:szCs w:val="16"/>
              </w:rPr>
              <w:t xml:space="preserve"> generate marginal defaults</w:t>
            </w:r>
            <w:r w:rsidR="000C4DFF">
              <w:rPr>
                <w:rFonts w:eastAsia="Arial"/>
                <w:sz w:val="16"/>
                <w:szCs w:val="16"/>
              </w:rPr>
              <w:t>, while addressing some of the concerns raised below</w:t>
            </w:r>
            <w:r w:rsidR="00A10108">
              <w:rPr>
                <w:rFonts w:eastAsia="Arial"/>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3F6C3284" w14:textId="5C4880D4" w:rsidR="009F28E6" w:rsidRDefault="001C7FCF" w:rsidP="001C7FCF">
            <w:pPr>
              <w:spacing w:line="190" w:lineRule="exact"/>
              <w:jc w:val="left"/>
              <w:rPr>
                <w:rFonts w:eastAsia="Arial"/>
                <w:sz w:val="16"/>
                <w:szCs w:val="16"/>
              </w:rPr>
            </w:pPr>
            <w:r w:rsidRPr="00941A70">
              <w:rPr>
                <w:rFonts w:eastAsia="Arial"/>
                <w:sz w:val="16"/>
                <w:szCs w:val="16"/>
              </w:rPr>
              <w:t xml:space="preserve">We strongly recommend that the CDM EB assess the </w:t>
            </w:r>
            <w:r w:rsidR="00D60E38">
              <w:rPr>
                <w:rFonts w:eastAsia="Arial"/>
                <w:sz w:val="16"/>
                <w:szCs w:val="16"/>
              </w:rPr>
              <w:t>m</w:t>
            </w:r>
            <w:r w:rsidRPr="00941A70">
              <w:rPr>
                <w:rFonts w:eastAsia="Arial"/>
                <w:sz w:val="16"/>
                <w:szCs w:val="16"/>
              </w:rPr>
              <w:t xml:space="preserve">arginal </w:t>
            </w:r>
            <w:r w:rsidR="00D60E38">
              <w:rPr>
                <w:rFonts w:eastAsia="Arial"/>
                <w:sz w:val="16"/>
                <w:szCs w:val="16"/>
              </w:rPr>
              <w:t>a</w:t>
            </w:r>
            <w:r w:rsidRPr="00941A70">
              <w:rPr>
                <w:rFonts w:eastAsia="Arial"/>
                <w:sz w:val="16"/>
                <w:szCs w:val="16"/>
              </w:rPr>
              <w:t xml:space="preserve">pproach </w:t>
            </w:r>
            <w:r w:rsidR="00D60E38">
              <w:rPr>
                <w:rFonts w:eastAsia="Arial"/>
                <w:sz w:val="16"/>
                <w:szCs w:val="16"/>
              </w:rPr>
              <w:t xml:space="preserve">to </w:t>
            </w:r>
            <w:proofErr w:type="spellStart"/>
            <w:r w:rsidR="00D60E38">
              <w:rPr>
                <w:rFonts w:eastAsia="Arial"/>
                <w:sz w:val="16"/>
                <w:szCs w:val="16"/>
              </w:rPr>
              <w:t>fNRB</w:t>
            </w:r>
            <w:proofErr w:type="spellEnd"/>
            <w:r w:rsidRPr="00941A70">
              <w:rPr>
                <w:rFonts w:eastAsia="Arial"/>
                <w:sz w:val="16"/>
                <w:szCs w:val="16"/>
              </w:rPr>
              <w:t xml:space="preserve">, with a view </w:t>
            </w:r>
            <w:r w:rsidR="00D60E38">
              <w:rPr>
                <w:rFonts w:eastAsia="Arial"/>
                <w:sz w:val="16"/>
                <w:szCs w:val="16"/>
              </w:rPr>
              <w:t xml:space="preserve">to bringing cookstove methodologies in line with the approach to grid emission factors </w:t>
            </w:r>
            <w:r w:rsidR="00D60E38" w:rsidRPr="00432AC0">
              <w:rPr>
                <w:rFonts w:eastAsia="Arial"/>
                <w:sz w:val="16"/>
                <w:szCs w:val="16"/>
              </w:rPr>
              <w:t>in AMS II C</w:t>
            </w:r>
            <w:r w:rsidR="00D60E38">
              <w:rPr>
                <w:rFonts w:eastAsia="Arial"/>
                <w:sz w:val="16"/>
                <w:szCs w:val="16"/>
              </w:rPr>
              <w:t>.</w:t>
            </w:r>
            <w:r w:rsidR="0046767D">
              <w:rPr>
                <w:rFonts w:eastAsia="Arial"/>
                <w:sz w:val="16"/>
                <w:szCs w:val="16"/>
              </w:rPr>
              <w:t xml:space="preserve"> We recommend that this work is conducted as part of the review of these numbers, and before the conclusion of this workstream</w:t>
            </w:r>
            <w:r w:rsidR="00C35166">
              <w:rPr>
                <w:rFonts w:eastAsia="Arial"/>
                <w:sz w:val="16"/>
                <w:szCs w:val="16"/>
              </w:rPr>
              <w:t xml:space="preserve"> at the Executive Board in November.</w:t>
            </w:r>
          </w:p>
          <w:p w14:paraId="08DD8817" w14:textId="77777777" w:rsidR="00432AC0" w:rsidRDefault="00432AC0" w:rsidP="001C7FCF">
            <w:pPr>
              <w:spacing w:line="190" w:lineRule="exact"/>
              <w:jc w:val="left"/>
              <w:rPr>
                <w:rFonts w:eastAsia="Arial"/>
                <w:sz w:val="16"/>
                <w:szCs w:val="16"/>
              </w:rPr>
            </w:pPr>
          </w:p>
          <w:p w14:paraId="621964FD" w14:textId="0841B775" w:rsidR="00432AC0" w:rsidRPr="00432AC0" w:rsidRDefault="00D60E38" w:rsidP="00432AC0">
            <w:pPr>
              <w:spacing w:line="190" w:lineRule="exact"/>
              <w:jc w:val="left"/>
              <w:rPr>
                <w:rFonts w:eastAsia="Arial"/>
                <w:sz w:val="16"/>
                <w:szCs w:val="16"/>
              </w:rPr>
            </w:pPr>
            <w:r>
              <w:rPr>
                <w:rFonts w:eastAsia="Arial"/>
                <w:sz w:val="16"/>
                <w:szCs w:val="16"/>
              </w:rPr>
              <w:t xml:space="preserve">Funding should be provided for </w:t>
            </w:r>
            <w:proofErr w:type="spellStart"/>
            <w:r w:rsidR="00847B1A">
              <w:rPr>
                <w:rFonts w:eastAsia="Arial"/>
                <w:sz w:val="16"/>
                <w:szCs w:val="16"/>
              </w:rPr>
              <w:t>MoFuSS</w:t>
            </w:r>
            <w:proofErr w:type="spellEnd"/>
            <w:r w:rsidR="00432AC0" w:rsidRPr="00432AC0">
              <w:rPr>
                <w:rFonts w:eastAsia="Arial"/>
                <w:sz w:val="16"/>
                <w:szCs w:val="16"/>
              </w:rPr>
              <w:t xml:space="preserve"> </w:t>
            </w:r>
            <w:r>
              <w:rPr>
                <w:rFonts w:eastAsia="Arial"/>
                <w:sz w:val="16"/>
                <w:szCs w:val="16"/>
              </w:rPr>
              <w:t xml:space="preserve">to </w:t>
            </w:r>
            <w:r w:rsidR="00432AC0" w:rsidRPr="00432AC0">
              <w:rPr>
                <w:rFonts w:eastAsia="Arial"/>
                <w:sz w:val="16"/>
                <w:szCs w:val="16"/>
              </w:rPr>
              <w:t>be re-run in an ‘intervention’ scenario, for 2020-2030, based on a Paris-aligned clean cooking adoption curves</w:t>
            </w:r>
            <w:r>
              <w:rPr>
                <w:rFonts w:eastAsia="Arial"/>
                <w:sz w:val="16"/>
                <w:szCs w:val="16"/>
              </w:rPr>
              <w:t xml:space="preserve">. </w:t>
            </w:r>
          </w:p>
          <w:p w14:paraId="79E49D6A" w14:textId="77777777" w:rsidR="00D60E38" w:rsidRDefault="00D60E38" w:rsidP="00432AC0">
            <w:pPr>
              <w:spacing w:line="190" w:lineRule="exact"/>
              <w:jc w:val="left"/>
              <w:rPr>
                <w:rFonts w:eastAsia="Arial"/>
                <w:sz w:val="16"/>
                <w:szCs w:val="16"/>
              </w:rPr>
            </w:pPr>
          </w:p>
          <w:p w14:paraId="3C872320" w14:textId="48B3310D" w:rsidR="00937E84" w:rsidRDefault="00432AC0" w:rsidP="00937E84">
            <w:pPr>
              <w:spacing w:line="190" w:lineRule="exact"/>
              <w:jc w:val="left"/>
              <w:rPr>
                <w:rFonts w:eastAsia="Arial"/>
                <w:sz w:val="16"/>
                <w:szCs w:val="16"/>
              </w:rPr>
            </w:pPr>
            <w:r w:rsidRPr="00432AC0">
              <w:rPr>
                <w:rFonts w:eastAsia="Arial"/>
                <w:sz w:val="16"/>
                <w:szCs w:val="16"/>
              </w:rPr>
              <w:t xml:space="preserve">Only </w:t>
            </w:r>
            <w:proofErr w:type="spellStart"/>
            <w:r w:rsidRPr="00432AC0">
              <w:rPr>
                <w:rFonts w:eastAsia="Arial"/>
                <w:sz w:val="16"/>
                <w:szCs w:val="16"/>
              </w:rPr>
              <w:t>fNRB</w:t>
            </w:r>
            <w:proofErr w:type="spellEnd"/>
            <w:r w:rsidRPr="00432AC0">
              <w:rPr>
                <w:rFonts w:eastAsia="Arial"/>
                <w:sz w:val="16"/>
                <w:szCs w:val="16"/>
              </w:rPr>
              <w:t xml:space="preserve"> defaults that are calculated based on the delta between baseline and intervention scenario should be published. Baseline </w:t>
            </w:r>
            <w:proofErr w:type="spellStart"/>
            <w:r w:rsidRPr="00432AC0">
              <w:rPr>
                <w:rFonts w:eastAsia="Arial"/>
                <w:sz w:val="16"/>
                <w:szCs w:val="16"/>
              </w:rPr>
              <w:t>fNRBs</w:t>
            </w:r>
            <w:proofErr w:type="spellEnd"/>
            <w:r w:rsidRPr="00432AC0">
              <w:rPr>
                <w:rFonts w:eastAsia="Arial"/>
                <w:sz w:val="16"/>
                <w:szCs w:val="16"/>
              </w:rPr>
              <w:t xml:space="preserve"> should not be published</w:t>
            </w:r>
            <w:r w:rsidR="00937E84">
              <w:rPr>
                <w:rFonts w:eastAsia="Arial"/>
                <w:sz w:val="16"/>
                <w:szCs w:val="16"/>
              </w:rPr>
              <w:t xml:space="preserve">, and the </w:t>
            </w:r>
            <w:r w:rsidR="00937E84" w:rsidRPr="00941A70">
              <w:rPr>
                <w:rFonts w:eastAsia="Arial"/>
                <w:sz w:val="16"/>
                <w:szCs w:val="16"/>
              </w:rPr>
              <w:t xml:space="preserve">timeline </w:t>
            </w:r>
            <w:r w:rsidR="00937E84">
              <w:rPr>
                <w:rFonts w:eastAsia="Arial"/>
                <w:sz w:val="16"/>
                <w:szCs w:val="16"/>
              </w:rPr>
              <w:t xml:space="preserve">for adopting new variables should be </w:t>
            </w:r>
            <w:r w:rsidR="00937E84" w:rsidRPr="00941A70">
              <w:rPr>
                <w:rFonts w:eastAsia="Arial"/>
                <w:sz w:val="16"/>
                <w:szCs w:val="16"/>
              </w:rPr>
              <w:t>extended</w:t>
            </w:r>
            <w:r w:rsidR="00937E84">
              <w:rPr>
                <w:rFonts w:eastAsia="Arial"/>
                <w:sz w:val="16"/>
                <w:szCs w:val="16"/>
              </w:rPr>
              <w:t>. T</w:t>
            </w:r>
            <w:r w:rsidR="00937E84" w:rsidRPr="00941A70">
              <w:rPr>
                <w:rFonts w:eastAsia="Arial"/>
                <w:sz w:val="16"/>
                <w:szCs w:val="16"/>
              </w:rPr>
              <w:t xml:space="preserve">he benefits of </w:t>
            </w:r>
            <w:r w:rsidR="00937E84">
              <w:rPr>
                <w:rFonts w:eastAsia="Arial"/>
                <w:sz w:val="16"/>
                <w:szCs w:val="16"/>
              </w:rPr>
              <w:t xml:space="preserve">a more scientifically accurate approach </w:t>
            </w:r>
            <w:r w:rsidR="006D2245">
              <w:rPr>
                <w:rFonts w:eastAsia="Arial"/>
                <w:sz w:val="16"/>
                <w:szCs w:val="16"/>
              </w:rPr>
              <w:t xml:space="preserve">to </w:t>
            </w:r>
            <w:proofErr w:type="spellStart"/>
            <w:r w:rsidR="006D2245">
              <w:rPr>
                <w:rFonts w:eastAsia="Arial"/>
                <w:sz w:val="16"/>
                <w:szCs w:val="16"/>
              </w:rPr>
              <w:t>fNRB</w:t>
            </w:r>
            <w:proofErr w:type="spellEnd"/>
            <w:r w:rsidR="006D2245">
              <w:rPr>
                <w:rFonts w:eastAsia="Arial"/>
                <w:sz w:val="16"/>
                <w:szCs w:val="16"/>
              </w:rPr>
              <w:t xml:space="preserve"> </w:t>
            </w:r>
            <w:r w:rsidR="00937E84" w:rsidRPr="00941A70">
              <w:rPr>
                <w:rFonts w:eastAsia="Arial"/>
                <w:sz w:val="16"/>
                <w:szCs w:val="16"/>
              </w:rPr>
              <w:t xml:space="preserve">outweigh </w:t>
            </w:r>
            <w:r w:rsidR="006D2245">
              <w:rPr>
                <w:rFonts w:eastAsia="Arial"/>
                <w:sz w:val="16"/>
                <w:szCs w:val="16"/>
              </w:rPr>
              <w:t xml:space="preserve">the </w:t>
            </w:r>
            <w:r w:rsidR="00937E84" w:rsidRPr="00941A70">
              <w:rPr>
                <w:rFonts w:eastAsia="Arial"/>
                <w:sz w:val="16"/>
                <w:szCs w:val="16"/>
              </w:rPr>
              <w:t>delay.</w:t>
            </w:r>
          </w:p>
          <w:p w14:paraId="0D579D56" w14:textId="275B624F" w:rsidR="00432AC0" w:rsidRPr="00941A70" w:rsidRDefault="00432AC0" w:rsidP="00432AC0">
            <w:pPr>
              <w:spacing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53B9813" w14:textId="77777777" w:rsidR="001C7FCF" w:rsidRDefault="001C7FCF" w:rsidP="001C7FCF">
            <w:pPr>
              <w:spacing w:line="190" w:lineRule="exact"/>
              <w:jc w:val="left"/>
              <w:rPr>
                <w:b/>
                <w:bCs/>
                <w:sz w:val="16"/>
                <w:szCs w:val="16"/>
              </w:rPr>
            </w:pPr>
          </w:p>
        </w:tc>
      </w:tr>
      <w:tr w:rsidR="001C7FCF" w14:paraId="6888E3E0"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FFB5B81" w14:textId="3CCDF1BB" w:rsidR="001C7FCF" w:rsidRPr="56C484A5" w:rsidRDefault="002C1B9B" w:rsidP="001C7FCF">
            <w:pPr>
              <w:spacing w:line="190" w:lineRule="exact"/>
              <w:jc w:val="left"/>
              <w:rPr>
                <w:b/>
                <w:bCs/>
                <w:sz w:val="16"/>
                <w:szCs w:val="16"/>
              </w:rPr>
            </w:pPr>
            <w:r>
              <w:rPr>
                <w:b/>
                <w:bCs/>
                <w:sz w:val="16"/>
                <w:szCs w:val="16"/>
              </w:rPr>
              <w:lastRenderedPageBreak/>
              <w:t>6</w:t>
            </w:r>
          </w:p>
        </w:tc>
        <w:tc>
          <w:tcPr>
            <w:tcW w:w="1425" w:type="dxa"/>
            <w:tcBorders>
              <w:top w:val="single" w:sz="6" w:space="0" w:color="auto"/>
              <w:left w:val="single" w:sz="6" w:space="0" w:color="auto"/>
              <w:bottom w:val="single" w:sz="6" w:space="0" w:color="auto"/>
              <w:right w:val="single" w:sz="6" w:space="0" w:color="auto"/>
            </w:tcBorders>
          </w:tcPr>
          <w:p w14:paraId="78F25647" w14:textId="7DE654F2" w:rsidR="001C7FCF" w:rsidRDefault="001C7FCF" w:rsidP="001C7FCF">
            <w:pPr>
              <w:spacing w:line="190" w:lineRule="exact"/>
              <w:jc w:val="left"/>
              <w:rPr>
                <w:b/>
                <w:bCs/>
                <w:sz w:val="16"/>
                <w:szCs w:val="16"/>
              </w:rPr>
            </w:pPr>
            <w:r>
              <w:rPr>
                <w:rFonts w:eastAsia="Arial"/>
                <w:b/>
                <w:bCs/>
                <w:sz w:val="16"/>
                <w:szCs w:val="16"/>
              </w:rPr>
              <w:t>General</w:t>
            </w:r>
          </w:p>
        </w:tc>
        <w:tc>
          <w:tcPr>
            <w:tcW w:w="922" w:type="dxa"/>
            <w:gridSpan w:val="2"/>
            <w:tcBorders>
              <w:top w:val="single" w:sz="6" w:space="0" w:color="auto"/>
              <w:left w:val="single" w:sz="6" w:space="0" w:color="auto"/>
              <w:bottom w:val="single" w:sz="6" w:space="0" w:color="auto"/>
              <w:right w:val="single" w:sz="6" w:space="0" w:color="auto"/>
            </w:tcBorders>
          </w:tcPr>
          <w:p w14:paraId="03E4C9A6" w14:textId="59322F5B" w:rsidR="001C7FCF" w:rsidRDefault="001C7FCF" w:rsidP="001C7FCF">
            <w:pPr>
              <w:spacing w:line="190" w:lineRule="exact"/>
              <w:jc w:val="left"/>
              <w:rPr>
                <w:rFonts w:eastAsia="Arial"/>
                <w:b/>
                <w:bCs/>
                <w:sz w:val="16"/>
                <w:szCs w:val="16"/>
              </w:rPr>
            </w:pPr>
            <w:r w:rsidRPr="186F6602">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7B188F7C" w14:textId="754F9224" w:rsidR="001C7FCF" w:rsidRPr="186F6602" w:rsidRDefault="001C7FCF" w:rsidP="001C7FCF">
            <w:pPr>
              <w:spacing w:line="190" w:lineRule="exact"/>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8A6785A"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Results</w:t>
            </w:r>
          </w:p>
          <w:p w14:paraId="7845925D" w14:textId="7A5EA6F3" w:rsidR="001C7FCF" w:rsidRPr="00941A70" w:rsidRDefault="001C7FCF" w:rsidP="001C7FCF">
            <w:pPr>
              <w:spacing w:before="40" w:after="40"/>
              <w:jc w:val="left"/>
              <w:rPr>
                <w:rFonts w:eastAsia="Arial"/>
                <w:b/>
                <w:bCs/>
                <w:sz w:val="16"/>
                <w:szCs w:val="16"/>
              </w:rPr>
            </w:pPr>
            <w:r w:rsidRPr="00941A70">
              <w:rPr>
                <w:rFonts w:eastAsia="Arial"/>
                <w:sz w:val="16"/>
                <w:szCs w:val="16"/>
              </w:rPr>
              <w:t xml:space="preserve">The current report does not provide any suitable reviewing advice for carbon credit buyers, developers and investors to illustrate that these numbers are effectively desk based figures that are subject to material changes when new inputs and assumptions are used (which are often generated from utilising local knowledge). Instead, the UNFCCC / the authors need to make clear that these figures can, and fundamentally should, change when the </w:t>
            </w:r>
            <w:proofErr w:type="spellStart"/>
            <w:r w:rsidR="00847B1A">
              <w:rPr>
                <w:rFonts w:eastAsia="Arial"/>
                <w:sz w:val="16"/>
                <w:szCs w:val="16"/>
              </w:rPr>
              <w:t>MoFuSS</w:t>
            </w:r>
            <w:proofErr w:type="spellEnd"/>
            <w:r w:rsidRPr="00941A70">
              <w:rPr>
                <w:rFonts w:eastAsia="Arial"/>
                <w:sz w:val="16"/>
                <w:szCs w:val="16"/>
              </w:rPr>
              <w:t xml:space="preserve"> inputs and assumptions are updated with better and more contextual understanding of the underlying country and region.</w:t>
            </w:r>
          </w:p>
        </w:tc>
        <w:tc>
          <w:tcPr>
            <w:tcW w:w="4253" w:type="dxa"/>
            <w:tcBorders>
              <w:top w:val="single" w:sz="6" w:space="0" w:color="auto"/>
              <w:left w:val="single" w:sz="6" w:space="0" w:color="auto"/>
              <w:bottom w:val="single" w:sz="6" w:space="0" w:color="auto"/>
              <w:right w:val="single" w:sz="6" w:space="0" w:color="auto"/>
            </w:tcBorders>
          </w:tcPr>
          <w:p w14:paraId="200CDF9D" w14:textId="0EAA212E" w:rsidR="001C7FCF" w:rsidRPr="00941A70" w:rsidRDefault="001C7FCF" w:rsidP="001C7FCF">
            <w:pPr>
              <w:spacing w:line="190" w:lineRule="exact"/>
              <w:jc w:val="left"/>
              <w:rPr>
                <w:rFonts w:eastAsia="Arial"/>
                <w:sz w:val="16"/>
                <w:szCs w:val="16"/>
              </w:rPr>
            </w:pPr>
            <w:r w:rsidRPr="00941A70">
              <w:rPr>
                <w:rFonts w:eastAsia="Arial"/>
                <w:sz w:val="16"/>
                <w:szCs w:val="16"/>
              </w:rPr>
              <w:t>As part of any ‘official’ communication of such figures there needs to be a disclaimer that these figures are derived from desk-based research and subject to material change when inputs and assumptions are revised to adhere to local knowledge. Ideally the report should also clearly list in a table where generic assumptions have been made so that the average carbon market participant, who is not an academic in nature, can better understand why there are likely to be material differences in model outputs when improved inputs are used.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8EB5E2E" w14:textId="77777777" w:rsidR="001C7FCF" w:rsidRDefault="001C7FCF" w:rsidP="001C7FCF">
            <w:pPr>
              <w:spacing w:line="190" w:lineRule="exact"/>
              <w:jc w:val="left"/>
              <w:rPr>
                <w:b/>
                <w:bCs/>
                <w:sz w:val="16"/>
                <w:szCs w:val="16"/>
              </w:rPr>
            </w:pPr>
          </w:p>
        </w:tc>
      </w:tr>
      <w:tr w:rsidR="001C7FCF" w14:paraId="28651908"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8C99B7F" w14:textId="23074ABB" w:rsidR="001C7FCF" w:rsidRPr="56C484A5" w:rsidRDefault="002C1B9B" w:rsidP="001C7FCF">
            <w:pPr>
              <w:spacing w:line="190" w:lineRule="exact"/>
              <w:jc w:val="left"/>
              <w:rPr>
                <w:b/>
                <w:bCs/>
                <w:sz w:val="16"/>
                <w:szCs w:val="16"/>
              </w:rPr>
            </w:pPr>
            <w:r>
              <w:rPr>
                <w:b/>
                <w:bCs/>
                <w:sz w:val="16"/>
                <w:szCs w:val="16"/>
              </w:rPr>
              <w:t>7</w:t>
            </w:r>
          </w:p>
        </w:tc>
        <w:tc>
          <w:tcPr>
            <w:tcW w:w="1425" w:type="dxa"/>
            <w:tcBorders>
              <w:top w:val="single" w:sz="6" w:space="0" w:color="auto"/>
              <w:left w:val="single" w:sz="6" w:space="0" w:color="auto"/>
              <w:bottom w:val="single" w:sz="6" w:space="0" w:color="auto"/>
              <w:right w:val="single" w:sz="6" w:space="0" w:color="auto"/>
            </w:tcBorders>
          </w:tcPr>
          <w:p w14:paraId="295F2583" w14:textId="368987B3" w:rsidR="001C7FCF" w:rsidRPr="186F6602" w:rsidRDefault="001C7FCF" w:rsidP="001C7FCF">
            <w:pPr>
              <w:spacing w:line="190" w:lineRule="exact"/>
              <w:jc w:val="left"/>
              <w:rPr>
                <w:b/>
                <w:bCs/>
                <w:sz w:val="16"/>
                <w:szCs w:val="16"/>
              </w:rPr>
            </w:pPr>
            <w:r>
              <w:rPr>
                <w:b/>
                <w:bCs/>
                <w:sz w:val="16"/>
                <w:szCs w:val="16"/>
              </w:rPr>
              <w:t>General</w:t>
            </w:r>
          </w:p>
        </w:tc>
        <w:tc>
          <w:tcPr>
            <w:tcW w:w="922" w:type="dxa"/>
            <w:gridSpan w:val="2"/>
            <w:tcBorders>
              <w:top w:val="single" w:sz="6" w:space="0" w:color="auto"/>
              <w:left w:val="single" w:sz="6" w:space="0" w:color="auto"/>
              <w:bottom w:val="single" w:sz="6" w:space="0" w:color="auto"/>
              <w:right w:val="single" w:sz="6" w:space="0" w:color="auto"/>
            </w:tcBorders>
          </w:tcPr>
          <w:p w14:paraId="422EEC47" w14:textId="05F4DC9E" w:rsidR="001C7FCF" w:rsidRPr="186F6602" w:rsidRDefault="001C7FCF" w:rsidP="001C7FCF">
            <w:pPr>
              <w:spacing w:line="190" w:lineRule="exact"/>
              <w:jc w:val="left"/>
              <w:rPr>
                <w:b/>
                <w:bCs/>
                <w:sz w:val="16"/>
                <w:szCs w:val="16"/>
              </w:rPr>
            </w:pPr>
            <w:r>
              <w:rPr>
                <w:rFonts w:eastAsia="Arial"/>
                <w:b/>
                <w:bCs/>
                <w:sz w:val="16"/>
                <w:szCs w:val="16"/>
              </w:rPr>
              <w:t>N/A</w:t>
            </w:r>
          </w:p>
        </w:tc>
        <w:tc>
          <w:tcPr>
            <w:tcW w:w="980" w:type="dxa"/>
            <w:tcBorders>
              <w:top w:val="single" w:sz="6" w:space="0" w:color="auto"/>
              <w:left w:val="single" w:sz="6" w:space="0" w:color="auto"/>
              <w:bottom w:val="single" w:sz="6" w:space="0" w:color="auto"/>
              <w:right w:val="single" w:sz="6" w:space="0" w:color="auto"/>
            </w:tcBorders>
          </w:tcPr>
          <w:p w14:paraId="1D2B49E5" w14:textId="32BAD8B9" w:rsidR="001C7FCF" w:rsidRPr="186F6602" w:rsidRDefault="001C7FCF" w:rsidP="001C7FCF">
            <w:pPr>
              <w:spacing w:line="190" w:lineRule="exact"/>
              <w:jc w:val="left"/>
              <w:rPr>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5190FB1" w14:textId="5D9000A4" w:rsidR="001C7FCF" w:rsidRPr="00941A70" w:rsidRDefault="001C7FCF" w:rsidP="001C7FCF">
            <w:pPr>
              <w:spacing w:before="40" w:after="40"/>
              <w:jc w:val="left"/>
              <w:rPr>
                <w:rFonts w:eastAsia="Arial"/>
                <w:b/>
                <w:bCs/>
                <w:sz w:val="16"/>
                <w:szCs w:val="16"/>
              </w:rPr>
            </w:pPr>
            <w:r w:rsidRPr="00941A70">
              <w:rPr>
                <w:rFonts w:eastAsia="Arial"/>
                <w:b/>
                <w:bCs/>
                <w:sz w:val="16"/>
                <w:szCs w:val="16"/>
              </w:rPr>
              <w:t>Local Data Inputs</w:t>
            </w:r>
          </w:p>
          <w:p w14:paraId="20BE9176" w14:textId="20487CE2" w:rsidR="001C7FCF" w:rsidRPr="00941A70" w:rsidRDefault="001C7FCF" w:rsidP="001C7FCF">
            <w:pPr>
              <w:spacing w:before="40" w:after="40"/>
              <w:jc w:val="left"/>
              <w:rPr>
                <w:rFonts w:eastAsia="Arial"/>
                <w:b/>
                <w:bCs/>
                <w:sz w:val="16"/>
                <w:szCs w:val="16"/>
              </w:rPr>
            </w:pPr>
            <w:r w:rsidRPr="00941A70">
              <w:rPr>
                <w:rFonts w:eastAsia="Arial"/>
                <w:sz w:val="16"/>
                <w:szCs w:val="16"/>
              </w:rPr>
              <w:t xml:space="preserve">It is clear from reviewing the latest report that there are several local / national variations that need to be considered and researched to build an accurate understanding of </w:t>
            </w:r>
            <w:proofErr w:type="spellStart"/>
            <w:r w:rsidRPr="00941A70">
              <w:rPr>
                <w:rFonts w:eastAsia="Arial"/>
                <w:sz w:val="16"/>
                <w:szCs w:val="16"/>
              </w:rPr>
              <w:t>fNRB</w:t>
            </w:r>
            <w:proofErr w:type="spellEnd"/>
            <w:r w:rsidRPr="00941A70">
              <w:rPr>
                <w:rFonts w:eastAsia="Arial"/>
                <w:sz w:val="16"/>
                <w:szCs w:val="16"/>
              </w:rPr>
              <w:t xml:space="preserve"> values. For these numbers to become de facto defaults, we recommend the UNFCCC commissions local or regional studies to use localised inputs and assumptions for accurate </w:t>
            </w:r>
            <w:proofErr w:type="spellStart"/>
            <w:r w:rsidRPr="00941A70">
              <w:rPr>
                <w:rFonts w:eastAsia="Arial"/>
                <w:sz w:val="16"/>
                <w:szCs w:val="16"/>
              </w:rPr>
              <w:t>fNRB</w:t>
            </w:r>
            <w:proofErr w:type="spellEnd"/>
            <w:r w:rsidRPr="00941A70">
              <w:rPr>
                <w:rFonts w:eastAsia="Arial"/>
                <w:sz w:val="16"/>
                <w:szCs w:val="16"/>
              </w:rPr>
              <w:t xml:space="preserve"> values. Only once local inputs and assumptions have been used in the </w:t>
            </w:r>
            <w:proofErr w:type="spellStart"/>
            <w:r w:rsidR="00847B1A">
              <w:rPr>
                <w:rFonts w:eastAsia="Arial"/>
                <w:sz w:val="16"/>
                <w:szCs w:val="16"/>
              </w:rPr>
              <w:t>MoFuSS</w:t>
            </w:r>
            <w:proofErr w:type="spellEnd"/>
            <w:r w:rsidRPr="00941A70">
              <w:rPr>
                <w:rFonts w:eastAsia="Arial"/>
                <w:sz w:val="16"/>
                <w:szCs w:val="16"/>
              </w:rPr>
              <w:t xml:space="preserve"> model should there be ‘default’ values approved by the UNFCCC. In the interim period </w:t>
            </w:r>
            <w:r w:rsidR="002F4D14">
              <w:rPr>
                <w:rFonts w:eastAsia="Arial"/>
                <w:sz w:val="16"/>
                <w:szCs w:val="16"/>
              </w:rPr>
              <w:t xml:space="preserve">existing </w:t>
            </w:r>
            <w:proofErr w:type="spellStart"/>
            <w:r w:rsidR="002F4D14">
              <w:rPr>
                <w:rFonts w:eastAsia="Arial"/>
                <w:sz w:val="16"/>
                <w:szCs w:val="16"/>
              </w:rPr>
              <w:t>fNRB</w:t>
            </w:r>
            <w:proofErr w:type="spellEnd"/>
            <w:r w:rsidR="002F4D14">
              <w:rPr>
                <w:rFonts w:eastAsia="Arial"/>
                <w:sz w:val="16"/>
                <w:szCs w:val="16"/>
              </w:rPr>
              <w:t xml:space="preserve"> protocols should continue to apply.</w:t>
            </w:r>
          </w:p>
        </w:tc>
        <w:tc>
          <w:tcPr>
            <w:tcW w:w="4253" w:type="dxa"/>
            <w:tcBorders>
              <w:top w:val="single" w:sz="6" w:space="0" w:color="auto"/>
              <w:left w:val="single" w:sz="6" w:space="0" w:color="auto"/>
              <w:bottom w:val="single" w:sz="6" w:space="0" w:color="auto"/>
              <w:right w:val="single" w:sz="6" w:space="0" w:color="auto"/>
            </w:tcBorders>
          </w:tcPr>
          <w:p w14:paraId="49DF2958" w14:textId="42A7BA84" w:rsidR="001C7FCF" w:rsidRPr="00941A70" w:rsidRDefault="001C7FCF" w:rsidP="001C7FCF">
            <w:pPr>
              <w:spacing w:line="190" w:lineRule="exact"/>
              <w:jc w:val="left"/>
              <w:rPr>
                <w:rFonts w:eastAsia="Arial"/>
                <w:sz w:val="16"/>
                <w:szCs w:val="16"/>
              </w:rPr>
            </w:pPr>
            <w:r w:rsidRPr="00941A70">
              <w:rPr>
                <w:rFonts w:eastAsia="Arial"/>
                <w:sz w:val="16"/>
                <w:szCs w:val="16"/>
              </w:rPr>
              <w:t>Local / national variations need to be included in the results before they become de facto default values.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141E7C5" w14:textId="77777777" w:rsidR="001C7FCF" w:rsidRDefault="001C7FCF" w:rsidP="001C7FCF">
            <w:pPr>
              <w:spacing w:line="190" w:lineRule="exact"/>
              <w:jc w:val="left"/>
              <w:rPr>
                <w:b/>
                <w:bCs/>
                <w:sz w:val="16"/>
                <w:szCs w:val="16"/>
              </w:rPr>
            </w:pPr>
          </w:p>
        </w:tc>
      </w:tr>
      <w:tr w:rsidR="001C7FCF" w14:paraId="5A4EA05C"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3B059B2" w14:textId="6715D96B" w:rsidR="001C7FCF" w:rsidRDefault="002C1B9B" w:rsidP="001C7FCF">
            <w:pPr>
              <w:spacing w:line="190" w:lineRule="exact"/>
              <w:jc w:val="left"/>
              <w:rPr>
                <w:b/>
                <w:bCs/>
                <w:sz w:val="16"/>
                <w:szCs w:val="16"/>
              </w:rPr>
            </w:pPr>
            <w:r>
              <w:rPr>
                <w:b/>
                <w:bCs/>
                <w:sz w:val="16"/>
                <w:szCs w:val="16"/>
              </w:rPr>
              <w:t>8</w:t>
            </w:r>
          </w:p>
        </w:tc>
        <w:tc>
          <w:tcPr>
            <w:tcW w:w="1425" w:type="dxa"/>
            <w:tcBorders>
              <w:top w:val="single" w:sz="6" w:space="0" w:color="auto"/>
              <w:left w:val="single" w:sz="6" w:space="0" w:color="auto"/>
              <w:bottom w:val="single" w:sz="6" w:space="0" w:color="auto"/>
              <w:right w:val="single" w:sz="6" w:space="0" w:color="auto"/>
            </w:tcBorders>
          </w:tcPr>
          <w:p w14:paraId="3ED01A5E" w14:textId="2AE6BD84" w:rsidR="001C7FCF" w:rsidRDefault="001C7FCF" w:rsidP="001C7FCF">
            <w:pPr>
              <w:spacing w:line="190" w:lineRule="exact"/>
              <w:jc w:val="left"/>
              <w:rPr>
                <w:b/>
                <w:bCs/>
                <w:sz w:val="16"/>
                <w:szCs w:val="16"/>
              </w:rPr>
            </w:pPr>
            <w:r w:rsidRPr="419CED46">
              <w:rPr>
                <w:b/>
                <w:bCs/>
                <w:sz w:val="16"/>
                <w:szCs w:val="16"/>
              </w:rPr>
              <w:t>1. Executive</w:t>
            </w:r>
            <w:r w:rsidRPr="186F6602">
              <w:rPr>
                <w:b/>
                <w:bCs/>
                <w:sz w:val="16"/>
                <w:szCs w:val="16"/>
              </w:rPr>
              <w:t xml:space="preserve"> Summary</w:t>
            </w:r>
          </w:p>
          <w:p w14:paraId="495E3ACE" w14:textId="10569A4C" w:rsidR="001C7FCF" w:rsidRDefault="001C7FCF" w:rsidP="001C7FCF">
            <w:pPr>
              <w:spacing w:line="190" w:lineRule="exact"/>
              <w:jc w:val="left"/>
              <w:rPr>
                <w:b/>
                <w:bCs/>
                <w:sz w:val="16"/>
                <w:szCs w:val="16"/>
              </w:rPr>
            </w:pPr>
            <w:r w:rsidRPr="11F83101">
              <w:rPr>
                <w:b/>
                <w:bCs/>
                <w:sz w:val="16"/>
                <w:szCs w:val="16"/>
              </w:rPr>
              <w:t>Para 1</w:t>
            </w:r>
          </w:p>
        </w:tc>
        <w:tc>
          <w:tcPr>
            <w:tcW w:w="922" w:type="dxa"/>
            <w:gridSpan w:val="2"/>
            <w:tcBorders>
              <w:top w:val="single" w:sz="6" w:space="0" w:color="auto"/>
              <w:left w:val="single" w:sz="6" w:space="0" w:color="auto"/>
              <w:bottom w:val="single" w:sz="6" w:space="0" w:color="auto"/>
              <w:right w:val="single" w:sz="6" w:space="0" w:color="auto"/>
            </w:tcBorders>
          </w:tcPr>
          <w:p w14:paraId="114843D8" w14:textId="6704234F" w:rsidR="001C7FCF" w:rsidRDefault="001C7FCF" w:rsidP="001C7FCF">
            <w:pPr>
              <w:spacing w:line="190" w:lineRule="exact"/>
              <w:jc w:val="left"/>
              <w:rPr>
                <w:b/>
                <w:bCs/>
                <w:sz w:val="16"/>
                <w:szCs w:val="16"/>
              </w:rPr>
            </w:pPr>
            <w:r w:rsidRPr="32CF7CD4">
              <w:rPr>
                <w:b/>
                <w:bCs/>
                <w:sz w:val="16"/>
                <w:szCs w:val="16"/>
              </w:rPr>
              <w:t>1</w:t>
            </w:r>
          </w:p>
        </w:tc>
        <w:tc>
          <w:tcPr>
            <w:tcW w:w="980" w:type="dxa"/>
            <w:tcBorders>
              <w:top w:val="single" w:sz="6" w:space="0" w:color="auto"/>
              <w:left w:val="single" w:sz="6" w:space="0" w:color="auto"/>
              <w:bottom w:val="single" w:sz="6" w:space="0" w:color="auto"/>
              <w:right w:val="single" w:sz="6" w:space="0" w:color="auto"/>
            </w:tcBorders>
          </w:tcPr>
          <w:p w14:paraId="616C96CC" w14:textId="3FBD0E48" w:rsidR="001C7FCF" w:rsidRDefault="001C7FCF" w:rsidP="001C7FCF">
            <w:pPr>
              <w:spacing w:line="190" w:lineRule="exact"/>
              <w:jc w:val="left"/>
              <w:rPr>
                <w:b/>
                <w:bCs/>
                <w:sz w:val="16"/>
                <w:szCs w:val="16"/>
              </w:rPr>
            </w:pPr>
            <w:proofErr w:type="spellStart"/>
            <w:r w:rsidRPr="186F6602">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141DCE8B" w14:textId="65C2ADB8" w:rsidR="001C7FCF" w:rsidRPr="00941A70" w:rsidRDefault="001C7FCF" w:rsidP="001C7FCF">
            <w:pPr>
              <w:spacing w:before="40" w:after="40"/>
              <w:jc w:val="left"/>
              <w:rPr>
                <w:rFonts w:eastAsia="Arial"/>
                <w:b/>
                <w:bCs/>
                <w:sz w:val="16"/>
                <w:szCs w:val="16"/>
              </w:rPr>
            </w:pPr>
            <w:r w:rsidRPr="00941A70">
              <w:rPr>
                <w:rFonts w:eastAsia="Arial"/>
                <w:b/>
                <w:bCs/>
                <w:sz w:val="16"/>
                <w:szCs w:val="16"/>
              </w:rPr>
              <w:t>Executive Summary</w:t>
            </w:r>
          </w:p>
          <w:p w14:paraId="745FA3DA" w14:textId="77777777" w:rsidR="001C7FCF" w:rsidRPr="00941A70" w:rsidRDefault="001C7FCF" w:rsidP="001C7FCF">
            <w:pPr>
              <w:spacing w:line="190" w:lineRule="exact"/>
              <w:jc w:val="left"/>
              <w:rPr>
                <w:sz w:val="16"/>
                <w:szCs w:val="16"/>
              </w:rPr>
            </w:pPr>
          </w:p>
          <w:p w14:paraId="432160C2" w14:textId="4955F6E8" w:rsidR="001C7FCF" w:rsidRPr="00941A70" w:rsidRDefault="001C7FCF" w:rsidP="001C7FCF">
            <w:pPr>
              <w:spacing w:line="190" w:lineRule="exact"/>
              <w:jc w:val="left"/>
              <w:rPr>
                <w:sz w:val="16"/>
                <w:szCs w:val="16"/>
              </w:rPr>
            </w:pPr>
            <w:r w:rsidRPr="00941A70">
              <w:rPr>
                <w:sz w:val="16"/>
                <w:szCs w:val="16"/>
              </w:rPr>
              <w:t xml:space="preserve">The introductory paragraph notes that </w:t>
            </w:r>
            <w:proofErr w:type="spellStart"/>
            <w:r w:rsidR="00847B1A">
              <w:rPr>
                <w:sz w:val="16"/>
                <w:szCs w:val="16"/>
              </w:rPr>
              <w:t>MoFuSS</w:t>
            </w:r>
            <w:proofErr w:type="spellEnd"/>
            <w:r w:rsidRPr="00941A70">
              <w:rPr>
                <w:sz w:val="16"/>
                <w:szCs w:val="16"/>
              </w:rPr>
              <w:t xml:space="preserve"> was “initially developed to estimate CO2 emission reductions from traditional </w:t>
            </w:r>
            <w:proofErr w:type="spellStart"/>
            <w:r w:rsidRPr="00941A70">
              <w:rPr>
                <w:sz w:val="16"/>
                <w:szCs w:val="16"/>
              </w:rPr>
              <w:t>woodfuel</w:t>
            </w:r>
            <w:proofErr w:type="spellEnd"/>
            <w:r w:rsidRPr="00941A70">
              <w:rPr>
                <w:sz w:val="16"/>
                <w:szCs w:val="16"/>
              </w:rPr>
              <w:t xml:space="preserve"> harvest and use, comparing business-as-usual with intervention scenarios”</w:t>
            </w:r>
          </w:p>
          <w:p w14:paraId="47F87B00" w14:textId="3249CF39" w:rsidR="001C7FCF" w:rsidRPr="00941A70" w:rsidRDefault="001C7FCF" w:rsidP="001C7FCF">
            <w:pPr>
              <w:spacing w:line="190" w:lineRule="exact"/>
              <w:jc w:val="left"/>
              <w:rPr>
                <w:sz w:val="16"/>
                <w:szCs w:val="16"/>
              </w:rPr>
            </w:pPr>
            <w:r w:rsidRPr="00941A70">
              <w:rPr>
                <w:sz w:val="16"/>
                <w:szCs w:val="16"/>
              </w:rPr>
              <w:t xml:space="preserve"> </w:t>
            </w:r>
          </w:p>
          <w:p w14:paraId="303D7433" w14:textId="12DA43F0" w:rsidR="001C7FCF" w:rsidRPr="00941A70" w:rsidRDefault="001C7FCF" w:rsidP="001C7FCF">
            <w:pPr>
              <w:spacing w:line="190" w:lineRule="exact"/>
              <w:jc w:val="left"/>
              <w:rPr>
                <w:rFonts w:eastAsia="Arial"/>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B02D0C3" w14:textId="210AED27" w:rsidR="001C7FCF" w:rsidRPr="00941A70" w:rsidRDefault="001C7FCF" w:rsidP="001C7FCF">
            <w:pPr>
              <w:spacing w:line="190" w:lineRule="exact"/>
              <w:jc w:val="left"/>
              <w:rPr>
                <w:rFonts w:eastAsia="Arial"/>
                <w:sz w:val="16"/>
                <w:szCs w:val="16"/>
              </w:rPr>
            </w:pPr>
            <w:r w:rsidRPr="00941A70">
              <w:rPr>
                <w:rFonts w:eastAsia="Arial"/>
                <w:sz w:val="16"/>
                <w:szCs w:val="16"/>
              </w:rPr>
              <w:t xml:space="preserve">Given the wide implications of the redefinition, we recommend that the UNFCCC consider further research into a marginal </w:t>
            </w:r>
            <w:proofErr w:type="spellStart"/>
            <w:r w:rsidRPr="00941A70">
              <w:rPr>
                <w:rFonts w:eastAsia="Arial"/>
                <w:sz w:val="16"/>
                <w:szCs w:val="16"/>
              </w:rPr>
              <w:t>fNRB</w:t>
            </w:r>
            <w:proofErr w:type="spellEnd"/>
            <w:r w:rsidRPr="00941A70">
              <w:rPr>
                <w:rFonts w:eastAsia="Arial"/>
                <w:sz w:val="16"/>
                <w:szCs w:val="16"/>
              </w:rPr>
              <w:t xml:space="preserve">. We understand that this could be achieved with the current </w:t>
            </w:r>
            <w:proofErr w:type="spellStart"/>
            <w:r w:rsidR="00847B1A">
              <w:rPr>
                <w:rFonts w:eastAsia="Arial"/>
                <w:sz w:val="16"/>
                <w:szCs w:val="16"/>
              </w:rPr>
              <w:t>MoFuSS</w:t>
            </w:r>
            <w:proofErr w:type="spellEnd"/>
            <w:r w:rsidRPr="00941A70">
              <w:rPr>
                <w:rFonts w:eastAsia="Arial"/>
                <w:sz w:val="16"/>
                <w:szCs w:val="16"/>
              </w:rPr>
              <w:t xml:space="preserve"> tool by comparing a baseline and implementation scenarios.</w:t>
            </w:r>
          </w:p>
          <w:p w14:paraId="5A3EF8AF" w14:textId="0197E201" w:rsidR="001C7FCF" w:rsidRPr="00941A70" w:rsidRDefault="001C7FCF" w:rsidP="001C7FCF">
            <w:pPr>
              <w:spacing w:line="190" w:lineRule="exact"/>
              <w:jc w:val="left"/>
              <w:rPr>
                <w:rFonts w:ascii="Aptos" w:eastAsia="Aptos" w:hAnsi="Aptos" w:cs="Apto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658DB3E" w14:textId="0E612E5B" w:rsidR="001C7FCF" w:rsidRDefault="001C7FCF" w:rsidP="001C7FCF">
            <w:pPr>
              <w:spacing w:line="190" w:lineRule="exact"/>
              <w:jc w:val="left"/>
              <w:rPr>
                <w:b/>
                <w:bCs/>
                <w:sz w:val="16"/>
                <w:szCs w:val="16"/>
              </w:rPr>
            </w:pPr>
          </w:p>
        </w:tc>
      </w:tr>
      <w:tr w:rsidR="001C7FCF" w14:paraId="3832DE9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9C29417" w14:textId="61372C3B" w:rsidR="001C7FCF" w:rsidRPr="3F459A55" w:rsidRDefault="002C1B9B" w:rsidP="001C7FCF">
            <w:pPr>
              <w:spacing w:line="190" w:lineRule="exact"/>
              <w:jc w:val="left"/>
              <w:rPr>
                <w:b/>
                <w:bCs/>
                <w:sz w:val="16"/>
                <w:szCs w:val="16"/>
              </w:rPr>
            </w:pPr>
            <w:r>
              <w:rPr>
                <w:b/>
                <w:bCs/>
                <w:sz w:val="16"/>
                <w:szCs w:val="16"/>
              </w:rPr>
              <w:lastRenderedPageBreak/>
              <w:t>9</w:t>
            </w:r>
          </w:p>
        </w:tc>
        <w:tc>
          <w:tcPr>
            <w:tcW w:w="1425" w:type="dxa"/>
            <w:tcBorders>
              <w:top w:val="single" w:sz="6" w:space="0" w:color="auto"/>
              <w:left w:val="single" w:sz="6" w:space="0" w:color="auto"/>
              <w:bottom w:val="single" w:sz="6" w:space="0" w:color="auto"/>
              <w:right w:val="single" w:sz="6" w:space="0" w:color="auto"/>
            </w:tcBorders>
          </w:tcPr>
          <w:p w14:paraId="02734954" w14:textId="2B05E502" w:rsidR="001C7FCF" w:rsidRPr="70BEE7C2" w:rsidRDefault="001C7FCF" w:rsidP="001C7FCF">
            <w:pPr>
              <w:spacing w:line="190" w:lineRule="exact"/>
              <w:jc w:val="left"/>
              <w:rPr>
                <w:rFonts w:eastAsia="Arial"/>
                <w:b/>
                <w:bCs/>
                <w:sz w:val="16"/>
                <w:szCs w:val="16"/>
              </w:rPr>
            </w:pPr>
            <w:r w:rsidRPr="186F6602">
              <w:rPr>
                <w:rFonts w:eastAsia="Arial"/>
                <w:b/>
                <w:bCs/>
                <w:sz w:val="16"/>
                <w:szCs w:val="16"/>
              </w:rPr>
              <w:t>Table ES1</w:t>
            </w:r>
          </w:p>
          <w:p w14:paraId="28B7F1ED" w14:textId="6F4E05BA" w:rsidR="001C7FCF" w:rsidRPr="70BEE7C2" w:rsidRDefault="001C7FCF" w:rsidP="001C7FCF">
            <w:pPr>
              <w:spacing w:line="190" w:lineRule="exact"/>
              <w:jc w:val="left"/>
              <w:rPr>
                <w:rFonts w:eastAsia="Arial"/>
                <w:b/>
                <w:bCs/>
                <w:sz w:val="16"/>
                <w:szCs w:val="16"/>
              </w:rPr>
            </w:pPr>
            <w:r w:rsidRPr="3B96B844">
              <w:rPr>
                <w:rFonts w:eastAsia="Arial"/>
                <w:b/>
                <w:bCs/>
                <w:sz w:val="16"/>
                <w:szCs w:val="16"/>
              </w:rPr>
              <w:t>Para 3</w:t>
            </w:r>
          </w:p>
        </w:tc>
        <w:tc>
          <w:tcPr>
            <w:tcW w:w="922" w:type="dxa"/>
            <w:gridSpan w:val="2"/>
            <w:tcBorders>
              <w:top w:val="single" w:sz="6" w:space="0" w:color="auto"/>
              <w:left w:val="single" w:sz="6" w:space="0" w:color="auto"/>
              <w:bottom w:val="single" w:sz="6" w:space="0" w:color="auto"/>
              <w:right w:val="single" w:sz="6" w:space="0" w:color="auto"/>
            </w:tcBorders>
          </w:tcPr>
          <w:p w14:paraId="33C8D416" w14:textId="1E6F7E33" w:rsidR="001C7FCF" w:rsidRPr="186F6602" w:rsidRDefault="001C7FCF" w:rsidP="001C7FCF">
            <w:pPr>
              <w:spacing w:line="190" w:lineRule="exact"/>
              <w:jc w:val="left"/>
              <w:rPr>
                <w:rFonts w:eastAsia="Arial"/>
                <w:b/>
                <w:bCs/>
                <w:sz w:val="16"/>
                <w:szCs w:val="16"/>
              </w:rPr>
            </w:pPr>
            <w:r w:rsidRPr="186F6602">
              <w:rPr>
                <w:rFonts w:eastAsia="Arial"/>
                <w:b/>
                <w:bCs/>
                <w:sz w:val="16"/>
                <w:szCs w:val="16"/>
              </w:rPr>
              <w:t>3</w:t>
            </w:r>
          </w:p>
        </w:tc>
        <w:tc>
          <w:tcPr>
            <w:tcW w:w="980" w:type="dxa"/>
            <w:tcBorders>
              <w:top w:val="single" w:sz="6" w:space="0" w:color="auto"/>
              <w:left w:val="single" w:sz="6" w:space="0" w:color="auto"/>
              <w:bottom w:val="single" w:sz="6" w:space="0" w:color="auto"/>
              <w:right w:val="single" w:sz="6" w:space="0" w:color="auto"/>
            </w:tcBorders>
          </w:tcPr>
          <w:p w14:paraId="3A7D124E" w14:textId="36492546" w:rsidR="001C7FCF" w:rsidRPr="186F6602" w:rsidRDefault="001C7FCF" w:rsidP="001C7FCF">
            <w:pPr>
              <w:spacing w:line="190" w:lineRule="exact"/>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F27B17E"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Summarised Results</w:t>
            </w:r>
          </w:p>
          <w:p w14:paraId="20D0F80E" w14:textId="77777777" w:rsidR="001C7FCF" w:rsidRPr="00941A70" w:rsidRDefault="001C7FCF" w:rsidP="001C7FCF">
            <w:pPr>
              <w:spacing w:before="40" w:after="40"/>
              <w:jc w:val="left"/>
              <w:rPr>
                <w:rFonts w:eastAsia="Arial"/>
                <w:sz w:val="16"/>
                <w:szCs w:val="16"/>
              </w:rPr>
            </w:pPr>
            <w:r w:rsidRPr="00941A70">
              <w:rPr>
                <w:rFonts w:eastAsia="Arial"/>
                <w:sz w:val="16"/>
                <w:szCs w:val="16"/>
              </w:rPr>
              <w:t>We note with concern that standard deviations are high, bringing the accurateness of the model and values into question.</w:t>
            </w:r>
          </w:p>
          <w:p w14:paraId="6B340AA8" w14:textId="0BC8FD4B" w:rsidR="001C7FCF" w:rsidRPr="00941A70" w:rsidRDefault="001C7FCF" w:rsidP="001C7FCF">
            <w:pPr>
              <w:spacing w:before="40" w:after="40"/>
              <w:jc w:val="left"/>
              <w:rPr>
                <w:rFonts w:eastAsia="Arial"/>
                <w:sz w:val="16"/>
                <w:szCs w:val="16"/>
              </w:rPr>
            </w:pPr>
            <w:r w:rsidRPr="00941A70">
              <w:rPr>
                <w:rFonts w:eastAsia="Arial"/>
                <w:b/>
                <w:bCs/>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1637966E" w14:textId="3BF8D71B" w:rsidR="003C4CDF" w:rsidRDefault="001C7FCF" w:rsidP="008D01C9">
            <w:pPr>
              <w:spacing w:before="40" w:after="40"/>
              <w:jc w:val="left"/>
              <w:rPr>
                <w:rFonts w:eastAsia="Arial"/>
                <w:sz w:val="16"/>
                <w:szCs w:val="16"/>
              </w:rPr>
            </w:pPr>
            <w:r w:rsidRPr="00941A70">
              <w:rPr>
                <w:rFonts w:eastAsia="Arial"/>
                <w:sz w:val="16"/>
                <w:szCs w:val="16"/>
              </w:rPr>
              <w:t xml:space="preserve">Please provide a clearer explanation for how project developers should interpret the high Standard Deviations. </w:t>
            </w:r>
            <w:r w:rsidR="003C4CDF">
              <w:rPr>
                <w:rFonts w:eastAsia="Arial"/>
                <w:sz w:val="16"/>
                <w:szCs w:val="16"/>
              </w:rPr>
              <w:t xml:space="preserve">For example, </w:t>
            </w:r>
            <w:r w:rsidR="003C4CDF" w:rsidRPr="00941A70">
              <w:rPr>
                <w:rFonts w:eastAsia="Arial"/>
                <w:sz w:val="16"/>
                <w:szCs w:val="16"/>
              </w:rPr>
              <w:t>availability of evidence applicable to the project context could determine the use of upper or lower SDs.</w:t>
            </w:r>
          </w:p>
          <w:p w14:paraId="3FE4F094" w14:textId="330E0594" w:rsidR="008D01C9" w:rsidRPr="00941A70" w:rsidRDefault="008D01C9" w:rsidP="008D01C9">
            <w:pPr>
              <w:spacing w:before="40" w:after="40"/>
              <w:jc w:val="left"/>
              <w:rPr>
                <w:rFonts w:eastAsia="Arial"/>
                <w:sz w:val="16"/>
                <w:szCs w:val="16"/>
              </w:rPr>
            </w:pPr>
            <w:proofErr w:type="gramStart"/>
            <w:r>
              <w:rPr>
                <w:rFonts w:eastAsia="Arial"/>
                <w:sz w:val="16"/>
                <w:szCs w:val="16"/>
              </w:rPr>
              <w:t>In particular, please</w:t>
            </w:r>
            <w:proofErr w:type="gramEnd"/>
            <w:r>
              <w:rPr>
                <w:rFonts w:eastAsia="Arial"/>
                <w:sz w:val="16"/>
                <w:szCs w:val="16"/>
              </w:rPr>
              <w:t xml:space="preserve"> provide</w:t>
            </w:r>
            <w:r w:rsidR="001C7FCF" w:rsidRPr="00941A70">
              <w:rPr>
                <w:rFonts w:eastAsia="Arial"/>
                <w:sz w:val="16"/>
                <w:szCs w:val="16"/>
              </w:rPr>
              <w:t xml:space="preserve"> direction on the SD tolerances that are feasible for developers given that the tool can generate such wide SD ranges</w:t>
            </w:r>
            <w:r>
              <w:rPr>
                <w:rFonts w:eastAsia="Arial"/>
                <w:sz w:val="16"/>
                <w:szCs w:val="16"/>
              </w:rPr>
              <w:t xml:space="preserve">. </w:t>
            </w:r>
          </w:p>
          <w:p w14:paraId="4689C472" w14:textId="26D03214" w:rsidR="008D01C9" w:rsidRPr="00941A70" w:rsidRDefault="008D01C9" w:rsidP="001C7FCF">
            <w:pPr>
              <w:spacing w:before="40" w:after="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E42152B" w14:textId="77777777" w:rsidR="001C7FCF" w:rsidRDefault="001C7FCF" w:rsidP="001C7FCF">
            <w:pPr>
              <w:spacing w:line="190" w:lineRule="exact"/>
              <w:jc w:val="left"/>
              <w:rPr>
                <w:b/>
                <w:bCs/>
                <w:sz w:val="16"/>
                <w:szCs w:val="16"/>
              </w:rPr>
            </w:pPr>
          </w:p>
        </w:tc>
      </w:tr>
      <w:tr w:rsidR="001C7FCF" w14:paraId="36E8DA3D"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ED8332E" w14:textId="0E06685D" w:rsidR="001C7FCF" w:rsidRPr="3F459A55" w:rsidRDefault="001C7FCF" w:rsidP="001C7FCF">
            <w:pPr>
              <w:spacing w:line="190" w:lineRule="exact"/>
              <w:jc w:val="left"/>
              <w:rPr>
                <w:b/>
                <w:bCs/>
                <w:sz w:val="16"/>
                <w:szCs w:val="16"/>
              </w:rPr>
            </w:pPr>
            <w:r w:rsidRPr="7FA2EAEF">
              <w:rPr>
                <w:b/>
                <w:bCs/>
                <w:sz w:val="16"/>
                <w:szCs w:val="16"/>
              </w:rPr>
              <w:t>1</w:t>
            </w:r>
            <w:r w:rsidR="002C1B9B">
              <w:rPr>
                <w:b/>
                <w:bCs/>
                <w:sz w:val="16"/>
                <w:szCs w:val="16"/>
              </w:rPr>
              <w:t>0</w:t>
            </w:r>
          </w:p>
        </w:tc>
        <w:tc>
          <w:tcPr>
            <w:tcW w:w="1425" w:type="dxa"/>
            <w:tcBorders>
              <w:top w:val="single" w:sz="6" w:space="0" w:color="auto"/>
              <w:left w:val="single" w:sz="6" w:space="0" w:color="auto"/>
              <w:bottom w:val="single" w:sz="6" w:space="0" w:color="auto"/>
              <w:right w:val="single" w:sz="6" w:space="0" w:color="auto"/>
            </w:tcBorders>
          </w:tcPr>
          <w:p w14:paraId="00B8A3C0" w14:textId="1EBC4911" w:rsidR="001C7FCF" w:rsidRDefault="001C7FCF" w:rsidP="001C7FCF">
            <w:pPr>
              <w:spacing w:line="190" w:lineRule="exact"/>
              <w:jc w:val="left"/>
              <w:rPr>
                <w:b/>
                <w:bCs/>
                <w:sz w:val="16"/>
                <w:szCs w:val="16"/>
              </w:rPr>
            </w:pPr>
            <w:r w:rsidRPr="33FA2803">
              <w:rPr>
                <w:rFonts w:eastAsia="Arial"/>
                <w:b/>
                <w:bCs/>
                <w:sz w:val="16"/>
                <w:szCs w:val="16"/>
              </w:rPr>
              <w:t>1.4 Uncertainty</w:t>
            </w:r>
          </w:p>
          <w:p w14:paraId="67302CE6" w14:textId="100B66B5" w:rsidR="001C7FCF" w:rsidRDefault="001C7FCF" w:rsidP="001C7FCF">
            <w:pPr>
              <w:spacing w:line="190" w:lineRule="exact"/>
              <w:jc w:val="left"/>
              <w:rPr>
                <w:rFonts w:eastAsia="Arial"/>
                <w:b/>
                <w:sz w:val="16"/>
                <w:szCs w:val="16"/>
              </w:rPr>
            </w:pPr>
            <w:r w:rsidRPr="3B96B844">
              <w:rPr>
                <w:rFonts w:eastAsia="Arial"/>
                <w:b/>
                <w:bCs/>
                <w:sz w:val="16"/>
                <w:szCs w:val="16"/>
              </w:rPr>
              <w:t>Para 10</w:t>
            </w:r>
          </w:p>
        </w:tc>
        <w:tc>
          <w:tcPr>
            <w:tcW w:w="922" w:type="dxa"/>
            <w:gridSpan w:val="2"/>
            <w:tcBorders>
              <w:top w:val="single" w:sz="6" w:space="0" w:color="auto"/>
              <w:left w:val="single" w:sz="6" w:space="0" w:color="auto"/>
              <w:bottom w:val="single" w:sz="6" w:space="0" w:color="auto"/>
              <w:right w:val="single" w:sz="6" w:space="0" w:color="auto"/>
            </w:tcBorders>
          </w:tcPr>
          <w:p w14:paraId="3E374E71" w14:textId="08AFE84D" w:rsidR="001C7FCF" w:rsidRDefault="001C7FCF" w:rsidP="001C7FCF">
            <w:pPr>
              <w:spacing w:line="190" w:lineRule="exact"/>
              <w:jc w:val="left"/>
              <w:rPr>
                <w:b/>
                <w:bCs/>
                <w:sz w:val="16"/>
                <w:szCs w:val="16"/>
              </w:rPr>
            </w:pPr>
            <w:r w:rsidRPr="186F6602">
              <w:rPr>
                <w:rFonts w:eastAsia="Arial"/>
                <w:b/>
                <w:bCs/>
                <w:sz w:val="16"/>
                <w:szCs w:val="16"/>
              </w:rPr>
              <w:t xml:space="preserve"> </w:t>
            </w:r>
            <w:r w:rsidRPr="70BEE7C2">
              <w:rPr>
                <w:rFonts w:eastAsia="Arial"/>
                <w:b/>
                <w:bCs/>
                <w:sz w:val="16"/>
                <w:szCs w:val="16"/>
              </w:rPr>
              <w:t>10</w:t>
            </w:r>
          </w:p>
        </w:tc>
        <w:tc>
          <w:tcPr>
            <w:tcW w:w="980" w:type="dxa"/>
            <w:tcBorders>
              <w:top w:val="single" w:sz="6" w:space="0" w:color="auto"/>
              <w:left w:val="single" w:sz="6" w:space="0" w:color="auto"/>
              <w:bottom w:val="single" w:sz="6" w:space="0" w:color="auto"/>
              <w:right w:val="single" w:sz="6" w:space="0" w:color="auto"/>
            </w:tcBorders>
          </w:tcPr>
          <w:p w14:paraId="6AC92B8D" w14:textId="5F6F9050" w:rsidR="001C7FCF" w:rsidRDefault="001C7FCF" w:rsidP="001C7FCF">
            <w:pPr>
              <w:spacing w:line="190" w:lineRule="exact"/>
              <w:jc w:val="left"/>
              <w:rPr>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C92B6F3" w14:textId="0D2912ED" w:rsidR="001C7FCF" w:rsidRPr="00941A70" w:rsidRDefault="001C7FCF" w:rsidP="001C7FCF">
            <w:pPr>
              <w:spacing w:line="190" w:lineRule="exact"/>
              <w:jc w:val="left"/>
              <w:rPr>
                <w:b/>
                <w:bCs/>
                <w:sz w:val="16"/>
                <w:szCs w:val="16"/>
              </w:rPr>
            </w:pPr>
            <w:r w:rsidRPr="00941A70">
              <w:rPr>
                <w:b/>
                <w:bCs/>
                <w:sz w:val="16"/>
                <w:szCs w:val="16"/>
              </w:rPr>
              <w:t>Uncertainty</w:t>
            </w:r>
          </w:p>
          <w:p w14:paraId="56002BB2" w14:textId="5D11BD29" w:rsidR="001C7FCF" w:rsidRPr="00941A70" w:rsidRDefault="001C7FCF" w:rsidP="001C7FCF">
            <w:pPr>
              <w:spacing w:before="40" w:after="40"/>
              <w:jc w:val="left"/>
              <w:rPr>
                <w:rFonts w:eastAsia="Arial"/>
                <w:sz w:val="16"/>
                <w:szCs w:val="16"/>
              </w:rPr>
            </w:pPr>
            <w:r w:rsidRPr="00941A70">
              <w:rPr>
                <w:rFonts w:eastAsia="Arial"/>
                <w:sz w:val="16"/>
                <w:szCs w:val="16"/>
              </w:rPr>
              <w:t>The resulting standard deviations of the default values is a cause for concern in terms of the robustness of these results. The low number of simulations (30) while varying only one parameter seems to be too low to enable acceptable results.</w:t>
            </w:r>
          </w:p>
          <w:p w14:paraId="4298ACA5" w14:textId="77777777" w:rsidR="001C7FCF" w:rsidRPr="00941A70" w:rsidRDefault="001C7FCF" w:rsidP="001C7FCF">
            <w:pPr>
              <w:spacing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624097C" w14:textId="5F993550" w:rsidR="001C7FCF" w:rsidRPr="00941A70" w:rsidRDefault="001C7FCF" w:rsidP="001C7FCF">
            <w:pPr>
              <w:spacing w:line="190" w:lineRule="exact"/>
              <w:jc w:val="left"/>
              <w:rPr>
                <w:sz w:val="16"/>
                <w:szCs w:val="16"/>
              </w:rPr>
            </w:pPr>
            <w:r w:rsidRPr="00941A70">
              <w:rPr>
                <w:rFonts w:eastAsia="Arial"/>
                <w:sz w:val="16"/>
                <w:szCs w:val="16"/>
              </w:rPr>
              <w:t>We suggest running the simulation while varying all parameters simultaneously for a minimum of 1,000 times.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F8CC831" w14:textId="77777777" w:rsidR="001C7FCF" w:rsidRDefault="001C7FCF" w:rsidP="001C7FCF">
            <w:pPr>
              <w:spacing w:line="190" w:lineRule="exact"/>
              <w:jc w:val="left"/>
              <w:rPr>
                <w:b/>
                <w:bCs/>
                <w:sz w:val="16"/>
                <w:szCs w:val="16"/>
              </w:rPr>
            </w:pPr>
          </w:p>
        </w:tc>
      </w:tr>
      <w:tr w:rsidR="001C7FCF" w14:paraId="071940A6"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4B380E7" w14:textId="3EF0AD90" w:rsidR="001C7FCF" w:rsidRDefault="001C7FCF" w:rsidP="001C7FCF">
            <w:pPr>
              <w:spacing w:line="190" w:lineRule="exact"/>
              <w:jc w:val="left"/>
              <w:rPr>
                <w:b/>
                <w:bCs/>
                <w:sz w:val="16"/>
                <w:szCs w:val="16"/>
              </w:rPr>
            </w:pPr>
            <w:r w:rsidRPr="7FA2EAEF">
              <w:rPr>
                <w:b/>
                <w:bCs/>
                <w:sz w:val="16"/>
                <w:szCs w:val="16"/>
              </w:rPr>
              <w:t>1</w:t>
            </w:r>
            <w:r w:rsidR="002C1B9B">
              <w:rPr>
                <w:b/>
                <w:bCs/>
                <w:sz w:val="16"/>
                <w:szCs w:val="16"/>
              </w:rPr>
              <w:t>1</w:t>
            </w:r>
          </w:p>
        </w:tc>
        <w:tc>
          <w:tcPr>
            <w:tcW w:w="1425" w:type="dxa"/>
            <w:tcBorders>
              <w:top w:val="single" w:sz="6" w:space="0" w:color="auto"/>
              <w:left w:val="single" w:sz="6" w:space="0" w:color="auto"/>
              <w:bottom w:val="single" w:sz="6" w:space="0" w:color="auto"/>
              <w:right w:val="single" w:sz="6" w:space="0" w:color="auto"/>
            </w:tcBorders>
          </w:tcPr>
          <w:p w14:paraId="7564D4B0" w14:textId="0E17966B" w:rsidR="001C7FCF" w:rsidRPr="186F6602" w:rsidRDefault="001C7FCF" w:rsidP="001C7FCF">
            <w:pPr>
              <w:spacing w:line="190" w:lineRule="exact"/>
              <w:jc w:val="left"/>
              <w:rPr>
                <w:b/>
                <w:bCs/>
                <w:sz w:val="16"/>
                <w:szCs w:val="16"/>
              </w:rPr>
            </w:pPr>
            <w:r w:rsidRPr="11F83101">
              <w:rPr>
                <w:b/>
                <w:bCs/>
                <w:sz w:val="16"/>
                <w:szCs w:val="16"/>
              </w:rPr>
              <w:t>1.5 Validation and next steps</w:t>
            </w:r>
            <w:r w:rsidRPr="31688B2F">
              <w:rPr>
                <w:b/>
                <w:bCs/>
                <w:sz w:val="16"/>
                <w:szCs w:val="16"/>
              </w:rPr>
              <w:t>,</w:t>
            </w:r>
            <w:r w:rsidRPr="11F83101">
              <w:rPr>
                <w:b/>
                <w:bCs/>
                <w:sz w:val="16"/>
                <w:szCs w:val="16"/>
              </w:rPr>
              <w:t xml:space="preserve"> Para </w:t>
            </w:r>
            <w:r w:rsidRPr="31688B2F">
              <w:rPr>
                <w:b/>
                <w:bCs/>
                <w:sz w:val="16"/>
                <w:szCs w:val="16"/>
              </w:rPr>
              <w:t>11-12</w:t>
            </w:r>
          </w:p>
        </w:tc>
        <w:tc>
          <w:tcPr>
            <w:tcW w:w="922" w:type="dxa"/>
            <w:gridSpan w:val="2"/>
            <w:tcBorders>
              <w:top w:val="single" w:sz="6" w:space="0" w:color="auto"/>
              <w:left w:val="single" w:sz="6" w:space="0" w:color="auto"/>
              <w:bottom w:val="single" w:sz="6" w:space="0" w:color="auto"/>
              <w:right w:val="single" w:sz="6" w:space="0" w:color="auto"/>
            </w:tcBorders>
          </w:tcPr>
          <w:p w14:paraId="38405BAC" w14:textId="4C8E7229" w:rsidR="001C7FCF" w:rsidRPr="186F6602" w:rsidRDefault="001C7FCF" w:rsidP="001C7FCF">
            <w:pPr>
              <w:spacing w:line="190" w:lineRule="exact"/>
              <w:jc w:val="left"/>
              <w:rPr>
                <w:b/>
                <w:bCs/>
                <w:sz w:val="16"/>
                <w:szCs w:val="16"/>
              </w:rPr>
            </w:pPr>
            <w:r>
              <w:rPr>
                <w:b/>
                <w:bCs/>
                <w:sz w:val="16"/>
                <w:szCs w:val="16"/>
              </w:rPr>
              <w:t>11 - 12</w:t>
            </w:r>
          </w:p>
        </w:tc>
        <w:tc>
          <w:tcPr>
            <w:tcW w:w="980" w:type="dxa"/>
            <w:tcBorders>
              <w:top w:val="single" w:sz="6" w:space="0" w:color="auto"/>
              <w:left w:val="single" w:sz="6" w:space="0" w:color="auto"/>
              <w:bottom w:val="single" w:sz="6" w:space="0" w:color="auto"/>
              <w:right w:val="single" w:sz="6" w:space="0" w:color="auto"/>
            </w:tcBorders>
          </w:tcPr>
          <w:p w14:paraId="1809B984" w14:textId="0FBE6E95" w:rsidR="001C7FCF" w:rsidRPr="186F6602" w:rsidRDefault="001C7FCF" w:rsidP="001C7FCF">
            <w:pPr>
              <w:spacing w:line="190" w:lineRule="exact"/>
              <w:jc w:val="left"/>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1D50030A" w14:textId="04A9EBA2" w:rsidR="001C7FCF" w:rsidRPr="00941A70" w:rsidRDefault="001C7FCF" w:rsidP="001C7FCF">
            <w:pPr>
              <w:spacing w:line="190" w:lineRule="exact"/>
              <w:jc w:val="left"/>
              <w:rPr>
                <w:b/>
                <w:bCs/>
                <w:sz w:val="16"/>
                <w:szCs w:val="16"/>
              </w:rPr>
            </w:pPr>
            <w:r w:rsidRPr="00941A70">
              <w:rPr>
                <w:b/>
                <w:bCs/>
                <w:sz w:val="16"/>
                <w:szCs w:val="16"/>
              </w:rPr>
              <w:t>Validation and Next Steps</w:t>
            </w:r>
          </w:p>
          <w:p w14:paraId="29FE56AD" w14:textId="77777777" w:rsidR="001C7FCF" w:rsidRPr="00941A70" w:rsidRDefault="001C7FCF" w:rsidP="001C7FCF">
            <w:pPr>
              <w:spacing w:line="190" w:lineRule="exact"/>
              <w:jc w:val="left"/>
              <w:rPr>
                <w:sz w:val="16"/>
                <w:szCs w:val="16"/>
              </w:rPr>
            </w:pPr>
          </w:p>
          <w:p w14:paraId="481EC33C" w14:textId="53381805" w:rsidR="001C7FCF" w:rsidRPr="00941A70" w:rsidRDefault="001C7FCF" w:rsidP="001C7FCF">
            <w:pPr>
              <w:spacing w:line="190" w:lineRule="exact"/>
              <w:jc w:val="left"/>
              <w:rPr>
                <w:sz w:val="16"/>
                <w:szCs w:val="16"/>
              </w:rPr>
            </w:pPr>
            <w:r w:rsidRPr="00941A70">
              <w:rPr>
                <w:sz w:val="16"/>
                <w:szCs w:val="16"/>
              </w:rPr>
              <w:t>It is stated by these paragraphs that the data/values have not yet been validated. Furthermore, the authors indicate that they will be conducting a series of validation studies in the coming year.</w:t>
            </w:r>
            <w:r w:rsidRPr="00941A70">
              <w:br/>
            </w:r>
            <w:r w:rsidRPr="00941A70">
              <w:br/>
            </w:r>
            <w:r w:rsidRPr="00941A70">
              <w:rPr>
                <w:sz w:val="16"/>
                <w:szCs w:val="16"/>
              </w:rPr>
              <w:t>We strongly recommend that the UNFCCC allows/commissions these validations to take place before the values are released.</w:t>
            </w:r>
          </w:p>
        </w:tc>
        <w:tc>
          <w:tcPr>
            <w:tcW w:w="4253" w:type="dxa"/>
            <w:tcBorders>
              <w:top w:val="single" w:sz="6" w:space="0" w:color="auto"/>
              <w:left w:val="single" w:sz="6" w:space="0" w:color="auto"/>
              <w:bottom w:val="single" w:sz="6" w:space="0" w:color="auto"/>
              <w:right w:val="single" w:sz="6" w:space="0" w:color="auto"/>
            </w:tcBorders>
          </w:tcPr>
          <w:p w14:paraId="2125B8C3" w14:textId="4ADA0E09" w:rsidR="007D4118" w:rsidRPr="00941A70" w:rsidRDefault="001C7FCF" w:rsidP="007D4118">
            <w:pPr>
              <w:spacing w:line="190" w:lineRule="exact"/>
              <w:jc w:val="left"/>
              <w:rPr>
                <w:sz w:val="16"/>
                <w:szCs w:val="16"/>
              </w:rPr>
            </w:pPr>
            <w:r w:rsidRPr="00941A70">
              <w:rPr>
                <w:sz w:val="16"/>
                <w:szCs w:val="16"/>
              </w:rPr>
              <w:t xml:space="preserve">Delay release of the </w:t>
            </w:r>
            <w:proofErr w:type="spellStart"/>
            <w:r w:rsidRPr="00941A70">
              <w:rPr>
                <w:sz w:val="16"/>
                <w:szCs w:val="16"/>
              </w:rPr>
              <w:t>fNRB</w:t>
            </w:r>
            <w:proofErr w:type="spellEnd"/>
            <w:r w:rsidRPr="00941A70">
              <w:rPr>
                <w:sz w:val="16"/>
                <w:szCs w:val="16"/>
              </w:rPr>
              <w:t xml:space="preserve"> results until they have been validated</w:t>
            </w:r>
            <w:r w:rsidR="007D4118" w:rsidRPr="00941A70">
              <w:rPr>
                <w:sz w:val="16"/>
                <w:szCs w:val="16"/>
              </w:rPr>
              <w:t>. We request clarification from the CDM that these are provisional estimates, and that further research is required to garner broader scientific consensus on the quantification approaches and definitions.</w:t>
            </w:r>
          </w:p>
          <w:p w14:paraId="5F34BD2C" w14:textId="3F2DCDAF" w:rsidR="001C7FCF" w:rsidRPr="00941A70" w:rsidRDefault="001C7FCF" w:rsidP="001C7FCF">
            <w:pPr>
              <w:spacing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54A1BCD" w14:textId="77777777" w:rsidR="001C7FCF" w:rsidRDefault="001C7FCF" w:rsidP="001C7FCF">
            <w:pPr>
              <w:spacing w:line="190" w:lineRule="exact"/>
              <w:jc w:val="left"/>
              <w:rPr>
                <w:b/>
                <w:bCs/>
                <w:sz w:val="16"/>
                <w:szCs w:val="16"/>
              </w:rPr>
            </w:pPr>
          </w:p>
        </w:tc>
      </w:tr>
      <w:tr w:rsidR="7FA2EAEF" w14:paraId="7CC7413D"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7135BB2" w14:textId="3F8B40FF" w:rsidR="42FE2B43" w:rsidRDefault="42FE2B43" w:rsidP="7FA2EAEF">
            <w:pPr>
              <w:spacing w:line="190" w:lineRule="exact"/>
              <w:jc w:val="left"/>
              <w:rPr>
                <w:b/>
                <w:bCs/>
                <w:sz w:val="16"/>
                <w:szCs w:val="16"/>
              </w:rPr>
            </w:pPr>
            <w:r w:rsidRPr="7FA2EAEF">
              <w:rPr>
                <w:b/>
                <w:bCs/>
                <w:sz w:val="16"/>
                <w:szCs w:val="16"/>
              </w:rPr>
              <w:t>1</w:t>
            </w:r>
            <w:r w:rsidR="002C1B9B">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59654ABB" w14:textId="7976BFC2" w:rsidR="46D640AB" w:rsidRDefault="46D640AB" w:rsidP="7FA2EAEF">
            <w:pPr>
              <w:spacing w:line="190" w:lineRule="exact"/>
              <w:jc w:val="left"/>
              <w:rPr>
                <w:b/>
                <w:bCs/>
                <w:sz w:val="16"/>
                <w:szCs w:val="16"/>
              </w:rPr>
            </w:pPr>
            <w:r w:rsidRPr="7FA2EAEF">
              <w:rPr>
                <w:b/>
                <w:bCs/>
                <w:sz w:val="16"/>
                <w:szCs w:val="16"/>
              </w:rPr>
              <w:t xml:space="preserve">2.14 Calculating </w:t>
            </w:r>
            <w:proofErr w:type="spellStart"/>
            <w:r w:rsidRPr="7FA2EAEF">
              <w:rPr>
                <w:b/>
                <w:bCs/>
                <w:sz w:val="16"/>
                <w:szCs w:val="16"/>
              </w:rPr>
              <w:t>fNRB</w:t>
            </w:r>
            <w:proofErr w:type="spellEnd"/>
            <w:r w:rsidRPr="7FA2EAEF">
              <w:rPr>
                <w:b/>
                <w:bCs/>
                <w:sz w:val="16"/>
                <w:szCs w:val="16"/>
              </w:rPr>
              <w:t>, Para 14</w:t>
            </w:r>
          </w:p>
          <w:p w14:paraId="1E6FF9F0" w14:textId="0C25A0DD" w:rsidR="7FA2EAEF" w:rsidRDefault="7FA2EAEF" w:rsidP="7FA2EAEF">
            <w:pPr>
              <w:spacing w:line="190" w:lineRule="exact"/>
              <w:jc w:val="left"/>
              <w:rPr>
                <w:b/>
                <w:bCs/>
                <w:sz w:val="16"/>
                <w:szCs w:val="16"/>
              </w:rPr>
            </w:pPr>
          </w:p>
        </w:tc>
        <w:tc>
          <w:tcPr>
            <w:tcW w:w="922" w:type="dxa"/>
            <w:gridSpan w:val="2"/>
            <w:tcBorders>
              <w:top w:val="single" w:sz="6" w:space="0" w:color="auto"/>
              <w:left w:val="single" w:sz="6" w:space="0" w:color="auto"/>
              <w:bottom w:val="single" w:sz="6" w:space="0" w:color="auto"/>
              <w:right w:val="single" w:sz="6" w:space="0" w:color="auto"/>
            </w:tcBorders>
          </w:tcPr>
          <w:p w14:paraId="10B3C2C7" w14:textId="56B78287" w:rsidR="46D640AB" w:rsidRDefault="46D640AB" w:rsidP="7FA2EAEF">
            <w:pPr>
              <w:spacing w:line="190" w:lineRule="exact"/>
              <w:jc w:val="left"/>
              <w:rPr>
                <w:b/>
                <w:bCs/>
                <w:sz w:val="16"/>
                <w:szCs w:val="16"/>
              </w:rPr>
            </w:pPr>
            <w:r w:rsidRPr="7FA2EAEF">
              <w:rPr>
                <w:b/>
                <w:bCs/>
                <w:sz w:val="16"/>
                <w:szCs w:val="16"/>
              </w:rPr>
              <w:t>14</w:t>
            </w:r>
          </w:p>
        </w:tc>
        <w:tc>
          <w:tcPr>
            <w:tcW w:w="980" w:type="dxa"/>
            <w:tcBorders>
              <w:top w:val="single" w:sz="6" w:space="0" w:color="auto"/>
              <w:left w:val="single" w:sz="6" w:space="0" w:color="auto"/>
              <w:bottom w:val="single" w:sz="6" w:space="0" w:color="auto"/>
              <w:right w:val="single" w:sz="6" w:space="0" w:color="auto"/>
            </w:tcBorders>
          </w:tcPr>
          <w:p w14:paraId="4B399F1B" w14:textId="1AA7DF00" w:rsidR="46D640AB" w:rsidRDefault="46D640AB" w:rsidP="7FA2EAEF">
            <w:pPr>
              <w:spacing w:line="190" w:lineRule="exact"/>
              <w:jc w:val="left"/>
              <w:rPr>
                <w:b/>
                <w:bCs/>
                <w:sz w:val="16"/>
                <w:szCs w:val="16"/>
              </w:rPr>
            </w:pPr>
            <w:proofErr w:type="spellStart"/>
            <w:r w:rsidRPr="7FA2EAEF">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70E1818" w14:textId="23DB0955" w:rsidR="6E031EC5" w:rsidRDefault="6E031EC5" w:rsidP="7FA2EAEF">
            <w:pPr>
              <w:spacing w:line="190" w:lineRule="exact"/>
              <w:jc w:val="left"/>
              <w:rPr>
                <w:b/>
                <w:bCs/>
                <w:sz w:val="16"/>
                <w:szCs w:val="16"/>
              </w:rPr>
            </w:pPr>
            <w:r w:rsidRPr="7FA2EAEF">
              <w:rPr>
                <w:b/>
                <w:bCs/>
                <w:sz w:val="16"/>
                <w:szCs w:val="16"/>
              </w:rPr>
              <w:t xml:space="preserve">Calculating </w:t>
            </w:r>
            <w:proofErr w:type="spellStart"/>
            <w:r w:rsidRPr="7FA2EAEF">
              <w:rPr>
                <w:b/>
                <w:bCs/>
                <w:sz w:val="16"/>
                <w:szCs w:val="16"/>
              </w:rPr>
              <w:t>fNRB</w:t>
            </w:r>
            <w:proofErr w:type="spellEnd"/>
          </w:p>
          <w:p w14:paraId="62A08AC6" w14:textId="7AD7D7F1" w:rsidR="46D640AB" w:rsidRDefault="46D640AB" w:rsidP="7FA2EAEF">
            <w:pPr>
              <w:spacing w:line="190" w:lineRule="exact"/>
              <w:jc w:val="left"/>
              <w:rPr>
                <w:sz w:val="16"/>
                <w:szCs w:val="16"/>
              </w:rPr>
            </w:pPr>
            <w:r w:rsidRPr="7FA2EAEF">
              <w:rPr>
                <w:sz w:val="16"/>
                <w:szCs w:val="16"/>
              </w:rPr>
              <w:t>The document defines that "real emission reductions are only attributable to the fraction of harvested wood that would not have regenerated naturally." However, the fraction of the forest that is included in the calculations should be adjusted to account for the probability that marginal forest areas are tapped first for fuelwood.</w:t>
            </w:r>
          </w:p>
        </w:tc>
        <w:tc>
          <w:tcPr>
            <w:tcW w:w="4253" w:type="dxa"/>
            <w:tcBorders>
              <w:top w:val="single" w:sz="6" w:space="0" w:color="auto"/>
              <w:left w:val="single" w:sz="6" w:space="0" w:color="auto"/>
              <w:bottom w:val="single" w:sz="6" w:space="0" w:color="auto"/>
              <w:right w:val="single" w:sz="6" w:space="0" w:color="auto"/>
            </w:tcBorders>
          </w:tcPr>
          <w:p w14:paraId="19F401A8" w14:textId="31A0174B" w:rsidR="46D640AB" w:rsidRDefault="46D640AB" w:rsidP="7FA2EAEF">
            <w:pPr>
              <w:spacing w:line="190" w:lineRule="exact"/>
              <w:jc w:val="left"/>
              <w:rPr>
                <w:sz w:val="16"/>
                <w:szCs w:val="16"/>
              </w:rPr>
            </w:pPr>
            <w:r w:rsidRPr="7FA2EAEF">
              <w:rPr>
                <w:sz w:val="16"/>
                <w:szCs w:val="16"/>
              </w:rPr>
              <w:t>Allow the possibility to discount total forest area to account for marginal harvest</w:t>
            </w:r>
          </w:p>
          <w:p w14:paraId="5BC7490A" w14:textId="6D60D1EC" w:rsidR="7FA2EAEF" w:rsidRDefault="7FA2EAEF" w:rsidP="7FA2EAEF">
            <w:pPr>
              <w:spacing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1F384D8" w14:textId="76CCFEB4" w:rsidR="7FA2EAEF" w:rsidRDefault="7FA2EAEF" w:rsidP="7FA2EAEF">
            <w:pPr>
              <w:spacing w:line="190" w:lineRule="exact"/>
              <w:jc w:val="left"/>
              <w:rPr>
                <w:b/>
                <w:bCs/>
                <w:sz w:val="16"/>
                <w:szCs w:val="16"/>
              </w:rPr>
            </w:pPr>
          </w:p>
        </w:tc>
      </w:tr>
      <w:tr w:rsidR="7FA2EAEF" w14:paraId="2A57F792"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BEACCE5" w14:textId="397B2608" w:rsidR="1EFD5D80" w:rsidRDefault="1EFD5D80" w:rsidP="7FA2EAEF">
            <w:pPr>
              <w:spacing w:line="190" w:lineRule="exact"/>
              <w:jc w:val="left"/>
              <w:rPr>
                <w:b/>
                <w:bCs/>
                <w:sz w:val="16"/>
                <w:szCs w:val="16"/>
              </w:rPr>
            </w:pPr>
            <w:r w:rsidRPr="7FA2EAEF">
              <w:rPr>
                <w:b/>
                <w:bCs/>
                <w:sz w:val="16"/>
                <w:szCs w:val="16"/>
              </w:rPr>
              <w:lastRenderedPageBreak/>
              <w:t>1</w:t>
            </w:r>
            <w:r w:rsidR="002C1B9B">
              <w:rPr>
                <w:b/>
                <w:bCs/>
                <w:sz w:val="16"/>
                <w:szCs w:val="16"/>
              </w:rPr>
              <w:t>3</w:t>
            </w:r>
          </w:p>
        </w:tc>
        <w:tc>
          <w:tcPr>
            <w:tcW w:w="1425" w:type="dxa"/>
            <w:tcBorders>
              <w:top w:val="single" w:sz="6" w:space="0" w:color="auto"/>
              <w:left w:val="single" w:sz="6" w:space="0" w:color="auto"/>
              <w:bottom w:val="single" w:sz="6" w:space="0" w:color="auto"/>
              <w:right w:val="single" w:sz="6" w:space="0" w:color="auto"/>
            </w:tcBorders>
          </w:tcPr>
          <w:p w14:paraId="0BADF3E5" w14:textId="107D23E5" w:rsidR="1C8B93F2" w:rsidRDefault="1C8B93F2" w:rsidP="7FA2EAEF">
            <w:pPr>
              <w:spacing w:line="190" w:lineRule="exact"/>
              <w:jc w:val="left"/>
              <w:rPr>
                <w:b/>
                <w:bCs/>
                <w:sz w:val="16"/>
                <w:szCs w:val="16"/>
              </w:rPr>
            </w:pPr>
            <w:r w:rsidRPr="7FA2EAEF">
              <w:rPr>
                <w:b/>
                <w:bCs/>
                <w:sz w:val="16"/>
                <w:szCs w:val="16"/>
              </w:rPr>
              <w:t xml:space="preserve">2.4 Reassessing </w:t>
            </w:r>
            <w:proofErr w:type="spellStart"/>
            <w:r w:rsidRPr="7FA2EAEF">
              <w:rPr>
                <w:b/>
                <w:bCs/>
                <w:sz w:val="16"/>
                <w:szCs w:val="16"/>
              </w:rPr>
              <w:t>fNRB</w:t>
            </w:r>
            <w:proofErr w:type="spellEnd"/>
            <w:r w:rsidRPr="7FA2EAEF">
              <w:rPr>
                <w:b/>
                <w:bCs/>
                <w:sz w:val="16"/>
                <w:szCs w:val="16"/>
              </w:rPr>
              <w:t>, Para 20 - 25</w:t>
            </w:r>
          </w:p>
        </w:tc>
        <w:tc>
          <w:tcPr>
            <w:tcW w:w="922" w:type="dxa"/>
            <w:gridSpan w:val="2"/>
            <w:tcBorders>
              <w:top w:val="single" w:sz="6" w:space="0" w:color="auto"/>
              <w:left w:val="single" w:sz="6" w:space="0" w:color="auto"/>
              <w:bottom w:val="single" w:sz="6" w:space="0" w:color="auto"/>
              <w:right w:val="single" w:sz="6" w:space="0" w:color="auto"/>
            </w:tcBorders>
          </w:tcPr>
          <w:p w14:paraId="43496F5F" w14:textId="73E4FC4B" w:rsidR="1C8B93F2" w:rsidRDefault="1C8B93F2" w:rsidP="7FA2EAEF">
            <w:pPr>
              <w:spacing w:line="190" w:lineRule="exact"/>
              <w:jc w:val="left"/>
              <w:rPr>
                <w:b/>
                <w:bCs/>
                <w:sz w:val="16"/>
                <w:szCs w:val="16"/>
              </w:rPr>
            </w:pPr>
            <w:r w:rsidRPr="7FA2EAEF">
              <w:rPr>
                <w:b/>
                <w:bCs/>
                <w:sz w:val="16"/>
                <w:szCs w:val="16"/>
              </w:rPr>
              <w:t>20 - 25</w:t>
            </w:r>
          </w:p>
        </w:tc>
        <w:tc>
          <w:tcPr>
            <w:tcW w:w="980" w:type="dxa"/>
            <w:tcBorders>
              <w:top w:val="single" w:sz="6" w:space="0" w:color="auto"/>
              <w:left w:val="single" w:sz="6" w:space="0" w:color="auto"/>
              <w:bottom w:val="single" w:sz="6" w:space="0" w:color="auto"/>
              <w:right w:val="single" w:sz="6" w:space="0" w:color="auto"/>
            </w:tcBorders>
          </w:tcPr>
          <w:p w14:paraId="5FF9959B" w14:textId="0CABD4B1" w:rsidR="1C8B93F2" w:rsidRDefault="1C8B93F2" w:rsidP="7FA2EAEF">
            <w:pPr>
              <w:spacing w:line="190" w:lineRule="exact"/>
              <w:jc w:val="left"/>
              <w:rPr>
                <w:b/>
                <w:bCs/>
                <w:sz w:val="16"/>
                <w:szCs w:val="16"/>
              </w:rPr>
            </w:pPr>
            <w:proofErr w:type="spellStart"/>
            <w:r w:rsidRPr="7FA2EAEF">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68E11570" w14:textId="597F4BE5" w:rsidR="4386F3D3" w:rsidRDefault="4386F3D3" w:rsidP="7FA2EAEF">
            <w:pPr>
              <w:spacing w:line="190" w:lineRule="exact"/>
              <w:jc w:val="left"/>
              <w:rPr>
                <w:b/>
                <w:bCs/>
                <w:sz w:val="16"/>
                <w:szCs w:val="16"/>
              </w:rPr>
            </w:pPr>
            <w:r w:rsidRPr="7FA2EAEF">
              <w:rPr>
                <w:b/>
                <w:bCs/>
                <w:sz w:val="16"/>
                <w:szCs w:val="16"/>
              </w:rPr>
              <w:t xml:space="preserve">Reassessing </w:t>
            </w:r>
            <w:proofErr w:type="spellStart"/>
            <w:r w:rsidRPr="7FA2EAEF">
              <w:rPr>
                <w:b/>
                <w:bCs/>
                <w:sz w:val="16"/>
                <w:szCs w:val="16"/>
              </w:rPr>
              <w:t>fNRB</w:t>
            </w:r>
            <w:proofErr w:type="spellEnd"/>
          </w:p>
          <w:p w14:paraId="5FB68828" w14:textId="09CBB732" w:rsidR="1C8B93F2" w:rsidRDefault="1C8B93F2" w:rsidP="7FA2EAEF">
            <w:pPr>
              <w:spacing w:line="190" w:lineRule="exact"/>
              <w:jc w:val="left"/>
              <w:rPr>
                <w:sz w:val="16"/>
                <w:szCs w:val="16"/>
              </w:rPr>
            </w:pPr>
            <w:r w:rsidRPr="7FA2EAEF">
              <w:rPr>
                <w:sz w:val="16"/>
                <w:szCs w:val="16"/>
              </w:rPr>
              <w:t xml:space="preserve">It is acknowledged that </w:t>
            </w:r>
            <w:proofErr w:type="spellStart"/>
            <w:r w:rsidR="00847B1A">
              <w:rPr>
                <w:sz w:val="16"/>
                <w:szCs w:val="16"/>
              </w:rPr>
              <w:t>MoFuSS</w:t>
            </w:r>
            <w:proofErr w:type="spellEnd"/>
            <w:r w:rsidRPr="7FA2EAEF">
              <w:rPr>
                <w:sz w:val="16"/>
                <w:szCs w:val="16"/>
              </w:rPr>
              <w:t xml:space="preserve"> "requires some expertise to run," and it is well known that further development is required to enable PDs to replace default values with project-specific values. Default values are in many cases </w:t>
            </w:r>
            <w:r w:rsidR="457CF006" w:rsidRPr="7FA2EAEF">
              <w:rPr>
                <w:sz w:val="16"/>
                <w:szCs w:val="16"/>
              </w:rPr>
              <w:t>inaccurate and</w:t>
            </w:r>
            <w:r w:rsidRPr="7FA2EAEF">
              <w:rPr>
                <w:sz w:val="16"/>
                <w:szCs w:val="16"/>
              </w:rPr>
              <w:t xml:space="preserve"> are derived from datasets that are "all 10 or more years old" per the document. </w:t>
            </w:r>
            <w:r w:rsidR="299CC182" w:rsidRPr="7FA2EAEF">
              <w:rPr>
                <w:sz w:val="16"/>
                <w:szCs w:val="16"/>
              </w:rPr>
              <w:t>So,</w:t>
            </w:r>
            <w:r w:rsidRPr="7FA2EAEF">
              <w:rPr>
                <w:sz w:val="16"/>
                <w:szCs w:val="16"/>
              </w:rPr>
              <w:t xml:space="preserve"> it is important that PDs </w:t>
            </w:r>
            <w:r w:rsidR="2082860C" w:rsidRPr="7FA2EAEF">
              <w:rPr>
                <w:sz w:val="16"/>
                <w:szCs w:val="16"/>
              </w:rPr>
              <w:t>can</w:t>
            </w:r>
            <w:r w:rsidRPr="7FA2EAEF">
              <w:rPr>
                <w:sz w:val="16"/>
                <w:szCs w:val="16"/>
              </w:rPr>
              <w:t xml:space="preserve"> assess accurate, ground-</w:t>
            </w:r>
            <w:proofErr w:type="spellStart"/>
            <w:r w:rsidRPr="7FA2EAEF">
              <w:rPr>
                <w:sz w:val="16"/>
                <w:szCs w:val="16"/>
              </w:rPr>
              <w:t>truthed</w:t>
            </w:r>
            <w:proofErr w:type="spellEnd"/>
            <w:r w:rsidRPr="7FA2EAEF">
              <w:rPr>
                <w:sz w:val="16"/>
                <w:szCs w:val="16"/>
              </w:rPr>
              <w:t xml:space="preserve"> values and implement them.</w:t>
            </w:r>
          </w:p>
        </w:tc>
        <w:tc>
          <w:tcPr>
            <w:tcW w:w="4253" w:type="dxa"/>
            <w:tcBorders>
              <w:top w:val="single" w:sz="6" w:space="0" w:color="auto"/>
              <w:left w:val="single" w:sz="6" w:space="0" w:color="auto"/>
              <w:bottom w:val="single" w:sz="6" w:space="0" w:color="auto"/>
              <w:right w:val="single" w:sz="6" w:space="0" w:color="auto"/>
            </w:tcBorders>
          </w:tcPr>
          <w:p w14:paraId="2E811413" w14:textId="0EC97888" w:rsidR="797AF77B" w:rsidRDefault="00847B1A" w:rsidP="7FA2EAEF">
            <w:pPr>
              <w:spacing w:line="190" w:lineRule="exact"/>
              <w:jc w:val="left"/>
              <w:rPr>
                <w:sz w:val="16"/>
                <w:szCs w:val="16"/>
              </w:rPr>
            </w:pPr>
            <w:proofErr w:type="spellStart"/>
            <w:r>
              <w:rPr>
                <w:sz w:val="16"/>
                <w:szCs w:val="16"/>
              </w:rPr>
              <w:t>MoFuSS</w:t>
            </w:r>
            <w:proofErr w:type="spellEnd"/>
            <w:r w:rsidR="797AF77B" w:rsidRPr="7FA2EAEF">
              <w:rPr>
                <w:sz w:val="16"/>
                <w:szCs w:val="16"/>
              </w:rPr>
              <w:t xml:space="preserve"> derived values should only be implemented after development work is complete and it is possible for PDs accurately define the inputs.</w:t>
            </w:r>
          </w:p>
          <w:p w14:paraId="765E22AE" w14:textId="79B6183F" w:rsidR="7FA2EAEF" w:rsidRDefault="7FA2EAEF" w:rsidP="7FA2EAEF">
            <w:pPr>
              <w:spacing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E249AB2" w14:textId="4ADC77D4" w:rsidR="7FA2EAEF" w:rsidRDefault="7FA2EAEF" w:rsidP="7FA2EAEF">
            <w:pPr>
              <w:spacing w:line="190" w:lineRule="exact"/>
              <w:jc w:val="left"/>
              <w:rPr>
                <w:b/>
                <w:bCs/>
                <w:sz w:val="16"/>
                <w:szCs w:val="16"/>
              </w:rPr>
            </w:pPr>
          </w:p>
        </w:tc>
      </w:tr>
      <w:tr w:rsidR="001C7FCF" w14:paraId="71D0C393" w14:textId="77777777" w:rsidTr="68FF231F">
        <w:trPr>
          <w:cantSplit/>
          <w:trHeight w:val="1380"/>
          <w:jc w:val="center"/>
        </w:trPr>
        <w:tc>
          <w:tcPr>
            <w:tcW w:w="435" w:type="dxa"/>
            <w:tcBorders>
              <w:top w:val="single" w:sz="6" w:space="0" w:color="auto"/>
              <w:left w:val="single" w:sz="6" w:space="0" w:color="auto"/>
              <w:bottom w:val="single" w:sz="6" w:space="0" w:color="auto"/>
              <w:right w:val="single" w:sz="6" w:space="0" w:color="auto"/>
            </w:tcBorders>
          </w:tcPr>
          <w:p w14:paraId="4C5CA74E" w14:textId="6A383529" w:rsidR="001C7FCF" w:rsidRDefault="001C7FCF" w:rsidP="001C7FCF">
            <w:pPr>
              <w:spacing w:line="190" w:lineRule="exact"/>
              <w:jc w:val="left"/>
              <w:rPr>
                <w:b/>
                <w:bCs/>
                <w:sz w:val="16"/>
                <w:szCs w:val="16"/>
              </w:rPr>
            </w:pPr>
            <w:r w:rsidRPr="7FA2EAEF">
              <w:rPr>
                <w:b/>
                <w:bCs/>
                <w:sz w:val="16"/>
                <w:szCs w:val="16"/>
              </w:rPr>
              <w:t>1</w:t>
            </w:r>
            <w:r w:rsidR="002C1B9B">
              <w:rPr>
                <w:b/>
                <w:bCs/>
                <w:sz w:val="16"/>
                <w:szCs w:val="16"/>
              </w:rPr>
              <w:t>4</w:t>
            </w:r>
          </w:p>
        </w:tc>
        <w:tc>
          <w:tcPr>
            <w:tcW w:w="1425" w:type="dxa"/>
            <w:tcBorders>
              <w:top w:val="single" w:sz="6" w:space="0" w:color="auto"/>
              <w:left w:val="single" w:sz="6" w:space="0" w:color="auto"/>
              <w:bottom w:val="single" w:sz="6" w:space="0" w:color="auto"/>
              <w:right w:val="single" w:sz="6" w:space="0" w:color="auto"/>
            </w:tcBorders>
          </w:tcPr>
          <w:p w14:paraId="6F35A666" w14:textId="42CF564E" w:rsidR="001C7FCF" w:rsidRDefault="001C7FCF" w:rsidP="001C7FCF">
            <w:pPr>
              <w:spacing w:line="190" w:lineRule="exact"/>
              <w:jc w:val="left"/>
              <w:rPr>
                <w:b/>
                <w:bCs/>
                <w:sz w:val="16"/>
                <w:szCs w:val="16"/>
              </w:rPr>
            </w:pPr>
            <w:r w:rsidRPr="100DDB2F">
              <w:rPr>
                <w:b/>
                <w:bCs/>
                <w:sz w:val="16"/>
                <w:szCs w:val="16"/>
              </w:rPr>
              <w:t xml:space="preserve">2.4 </w:t>
            </w:r>
            <w:r w:rsidRPr="20A643AC">
              <w:rPr>
                <w:b/>
                <w:bCs/>
                <w:sz w:val="16"/>
                <w:szCs w:val="16"/>
              </w:rPr>
              <w:t xml:space="preserve">Key assumptions </w:t>
            </w:r>
            <w:r w:rsidRPr="100DDB2F">
              <w:rPr>
                <w:b/>
                <w:bCs/>
                <w:sz w:val="16"/>
                <w:szCs w:val="16"/>
              </w:rPr>
              <w:t xml:space="preserve">in </w:t>
            </w:r>
            <w:proofErr w:type="spellStart"/>
            <w:r w:rsidR="00847B1A">
              <w:rPr>
                <w:b/>
                <w:bCs/>
                <w:sz w:val="16"/>
                <w:szCs w:val="16"/>
              </w:rPr>
              <w:t>MoFuSS</w:t>
            </w:r>
            <w:proofErr w:type="spellEnd"/>
            <w:r w:rsidRPr="1330C6BF">
              <w:rPr>
                <w:b/>
                <w:bCs/>
                <w:sz w:val="16"/>
                <w:szCs w:val="16"/>
              </w:rPr>
              <w:t>, para</w:t>
            </w:r>
            <w:r w:rsidRPr="1EDE9D3F">
              <w:rPr>
                <w:b/>
                <w:bCs/>
                <w:sz w:val="16"/>
                <w:szCs w:val="16"/>
              </w:rPr>
              <w:t xml:space="preserve"> 22</w:t>
            </w:r>
          </w:p>
        </w:tc>
        <w:tc>
          <w:tcPr>
            <w:tcW w:w="922" w:type="dxa"/>
            <w:gridSpan w:val="2"/>
            <w:tcBorders>
              <w:top w:val="single" w:sz="6" w:space="0" w:color="auto"/>
              <w:left w:val="single" w:sz="6" w:space="0" w:color="auto"/>
              <w:bottom w:val="single" w:sz="6" w:space="0" w:color="auto"/>
              <w:right w:val="single" w:sz="6" w:space="0" w:color="auto"/>
            </w:tcBorders>
          </w:tcPr>
          <w:p w14:paraId="62F1C37B" w14:textId="3A47FCAF" w:rsidR="001C7FCF" w:rsidRDefault="001C7FCF" w:rsidP="001C7FCF">
            <w:pPr>
              <w:spacing w:line="190" w:lineRule="exact"/>
              <w:jc w:val="left"/>
              <w:rPr>
                <w:b/>
                <w:bCs/>
                <w:sz w:val="16"/>
                <w:szCs w:val="16"/>
              </w:rPr>
            </w:pPr>
            <w:r w:rsidRPr="20A643AC">
              <w:rPr>
                <w:b/>
                <w:bCs/>
                <w:sz w:val="16"/>
                <w:szCs w:val="16"/>
              </w:rPr>
              <w:t>22</w:t>
            </w:r>
          </w:p>
        </w:tc>
        <w:tc>
          <w:tcPr>
            <w:tcW w:w="980" w:type="dxa"/>
            <w:tcBorders>
              <w:top w:val="single" w:sz="6" w:space="0" w:color="auto"/>
              <w:left w:val="single" w:sz="6" w:space="0" w:color="auto"/>
              <w:bottom w:val="single" w:sz="6" w:space="0" w:color="auto"/>
              <w:right w:val="single" w:sz="6" w:space="0" w:color="auto"/>
            </w:tcBorders>
          </w:tcPr>
          <w:p w14:paraId="0C94DB13" w14:textId="6A99A3DC" w:rsidR="001C7FCF" w:rsidRDefault="001C7FCF" w:rsidP="001C7FCF">
            <w:pPr>
              <w:spacing w:line="190" w:lineRule="exact"/>
              <w:jc w:val="left"/>
              <w:rPr>
                <w:b/>
                <w:bCs/>
                <w:sz w:val="16"/>
                <w:szCs w:val="16"/>
              </w:rPr>
            </w:pPr>
            <w:proofErr w:type="spellStart"/>
            <w:r w:rsidRPr="20A643AC">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5A0A724" w14:textId="49A82DAC" w:rsidR="001C7FCF" w:rsidRPr="00941A70" w:rsidRDefault="001C7FCF" w:rsidP="001C7FCF">
            <w:pPr>
              <w:spacing w:line="190" w:lineRule="exact"/>
              <w:jc w:val="left"/>
              <w:rPr>
                <w:b/>
                <w:bCs/>
                <w:sz w:val="16"/>
                <w:szCs w:val="16"/>
              </w:rPr>
            </w:pPr>
            <w:r w:rsidRPr="00941A70">
              <w:rPr>
                <w:b/>
                <w:bCs/>
                <w:sz w:val="16"/>
                <w:szCs w:val="16"/>
              </w:rPr>
              <w:t xml:space="preserve">Key Assumptions in </w:t>
            </w:r>
            <w:proofErr w:type="spellStart"/>
            <w:r w:rsidR="00847B1A">
              <w:rPr>
                <w:b/>
                <w:bCs/>
                <w:sz w:val="16"/>
                <w:szCs w:val="16"/>
              </w:rPr>
              <w:t>MoFuSS</w:t>
            </w:r>
            <w:proofErr w:type="spellEnd"/>
          </w:p>
          <w:p w14:paraId="13748A1F" w14:textId="476A5CB3" w:rsidR="001C7FCF" w:rsidRPr="00941A70" w:rsidRDefault="00847B1A" w:rsidP="001C7FCF">
            <w:pPr>
              <w:spacing w:line="190" w:lineRule="exact"/>
              <w:jc w:val="left"/>
              <w:rPr>
                <w:sz w:val="16"/>
                <w:szCs w:val="16"/>
              </w:rPr>
            </w:pPr>
            <w:proofErr w:type="spellStart"/>
            <w:r>
              <w:rPr>
                <w:sz w:val="16"/>
                <w:szCs w:val="16"/>
              </w:rPr>
              <w:t>MoFuSS</w:t>
            </w:r>
            <w:proofErr w:type="spellEnd"/>
            <w:r w:rsidR="001C7FCF" w:rsidRPr="00941A70">
              <w:rPr>
                <w:sz w:val="16"/>
                <w:szCs w:val="16"/>
              </w:rPr>
              <w:t xml:space="preserve"> relies on several dozen parameters to model land cover change associated with </w:t>
            </w:r>
            <w:proofErr w:type="spellStart"/>
            <w:r w:rsidR="001C7FCF" w:rsidRPr="00941A70">
              <w:rPr>
                <w:sz w:val="16"/>
                <w:szCs w:val="16"/>
              </w:rPr>
              <w:t>woodfuel</w:t>
            </w:r>
            <w:proofErr w:type="spellEnd"/>
            <w:r w:rsidR="001C7FCF" w:rsidRPr="00941A70">
              <w:rPr>
                <w:sz w:val="16"/>
                <w:szCs w:val="16"/>
              </w:rPr>
              <w:t xml:space="preserve"> harvesting</w:t>
            </w:r>
          </w:p>
          <w:p w14:paraId="2E3EFA4F" w14:textId="71FA9DD7" w:rsidR="001C7FCF" w:rsidRPr="00941A70" w:rsidRDefault="001C7FCF" w:rsidP="001C7FCF">
            <w:pPr>
              <w:spacing w:line="190" w:lineRule="exact"/>
              <w:jc w:val="left"/>
              <w:rPr>
                <w:sz w:val="16"/>
                <w:szCs w:val="16"/>
              </w:rPr>
            </w:pPr>
            <w:r w:rsidRPr="00941A70">
              <w:rPr>
                <w:sz w:val="16"/>
                <w:szCs w:val="16"/>
              </w:rPr>
              <w:t xml:space="preserve"> </w:t>
            </w:r>
          </w:p>
          <w:p w14:paraId="2BF46F1D" w14:textId="0710AA0F" w:rsidR="001C7FCF" w:rsidRPr="00941A70" w:rsidRDefault="001C7FCF" w:rsidP="001C7FCF">
            <w:pPr>
              <w:spacing w:line="190" w:lineRule="exact"/>
              <w:jc w:val="left"/>
              <w:rPr>
                <w:sz w:val="16"/>
                <w:szCs w:val="16"/>
              </w:rPr>
            </w:pPr>
            <w:r w:rsidRPr="00941A70">
              <w:rPr>
                <w:sz w:val="16"/>
                <w:szCs w:val="16"/>
              </w:rPr>
              <w:t xml:space="preserve">Based on our request to delay the publication of these numbers before strict validation </w:t>
            </w:r>
            <w:r w:rsidRPr="68FF231F">
              <w:rPr>
                <w:sz w:val="16"/>
                <w:szCs w:val="16"/>
              </w:rPr>
              <w:t>b</w:t>
            </w:r>
            <w:r w:rsidR="14D8A7FF" w:rsidRPr="68FF231F">
              <w:rPr>
                <w:sz w:val="16"/>
                <w:szCs w:val="16"/>
              </w:rPr>
              <w:t>y</w:t>
            </w:r>
            <w:r w:rsidRPr="00941A70">
              <w:rPr>
                <w:sz w:val="16"/>
                <w:szCs w:val="16"/>
              </w:rPr>
              <w:t xml:space="preserve"> experts. We suggest the following modification</w:t>
            </w:r>
          </w:p>
        </w:tc>
        <w:tc>
          <w:tcPr>
            <w:tcW w:w="4253" w:type="dxa"/>
            <w:tcBorders>
              <w:top w:val="single" w:sz="6" w:space="0" w:color="auto"/>
              <w:left w:val="single" w:sz="6" w:space="0" w:color="auto"/>
              <w:bottom w:val="single" w:sz="6" w:space="0" w:color="auto"/>
              <w:right w:val="single" w:sz="6" w:space="0" w:color="auto"/>
            </w:tcBorders>
          </w:tcPr>
          <w:p w14:paraId="3ACE9706" w14:textId="1A373B2F" w:rsidR="001C7FCF" w:rsidRPr="00941A70" w:rsidRDefault="001C7FCF" w:rsidP="001C7FCF">
            <w:pPr>
              <w:spacing w:line="190" w:lineRule="exact"/>
              <w:jc w:val="left"/>
              <w:rPr>
                <w:sz w:val="16"/>
                <w:szCs w:val="16"/>
              </w:rPr>
            </w:pPr>
            <w:r w:rsidRPr="00941A70">
              <w:rPr>
                <w:sz w:val="16"/>
                <w:szCs w:val="16"/>
              </w:rPr>
              <w:t xml:space="preserve">Values for </w:t>
            </w:r>
            <w:proofErr w:type="spellStart"/>
            <w:r w:rsidRPr="00941A70">
              <w:rPr>
                <w:sz w:val="16"/>
                <w:szCs w:val="16"/>
              </w:rPr>
              <w:t>fNRB</w:t>
            </w:r>
            <w:proofErr w:type="spellEnd"/>
            <w:r w:rsidRPr="00941A70">
              <w:rPr>
                <w:sz w:val="16"/>
                <w:szCs w:val="16"/>
              </w:rPr>
              <w:t xml:space="preserve"> provide preliminary results and will only be applicable for use upon a complete validation and verification of the data sets support the </w:t>
            </w:r>
            <w:proofErr w:type="spellStart"/>
            <w:r w:rsidR="00847B1A">
              <w:rPr>
                <w:sz w:val="16"/>
                <w:szCs w:val="16"/>
              </w:rPr>
              <w:t>MoFuSS</w:t>
            </w:r>
            <w:proofErr w:type="spellEnd"/>
            <w:r w:rsidRPr="00941A70">
              <w:rPr>
                <w:sz w:val="16"/>
                <w:szCs w:val="16"/>
              </w:rPr>
              <w:t xml:space="preserve"> tool</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F612856" w14:textId="03DF6DD7" w:rsidR="001C7FCF" w:rsidRDefault="001C7FCF" w:rsidP="001C7FCF">
            <w:pPr>
              <w:spacing w:line="190" w:lineRule="exact"/>
              <w:jc w:val="left"/>
              <w:rPr>
                <w:b/>
                <w:bCs/>
                <w:sz w:val="16"/>
                <w:szCs w:val="16"/>
              </w:rPr>
            </w:pPr>
          </w:p>
        </w:tc>
      </w:tr>
      <w:tr w:rsidR="001C7FCF" w14:paraId="40B8270E"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04D2365" w14:textId="38EDDCF2" w:rsidR="001C7FCF" w:rsidRDefault="001C7FCF" w:rsidP="001C7FCF">
            <w:pPr>
              <w:keepLines/>
              <w:spacing w:before="40" w:after="40" w:line="190" w:lineRule="exact"/>
              <w:jc w:val="left"/>
              <w:rPr>
                <w:b/>
                <w:bCs/>
                <w:sz w:val="16"/>
                <w:szCs w:val="16"/>
              </w:rPr>
            </w:pPr>
            <w:r w:rsidRPr="7FA2EAEF">
              <w:rPr>
                <w:b/>
                <w:bCs/>
                <w:sz w:val="16"/>
                <w:szCs w:val="16"/>
              </w:rPr>
              <w:lastRenderedPageBreak/>
              <w:t>1</w:t>
            </w:r>
            <w:r w:rsidR="002C1B9B">
              <w:rPr>
                <w:b/>
                <w:bCs/>
                <w:sz w:val="16"/>
                <w:szCs w:val="16"/>
              </w:rPr>
              <w:t>5</w:t>
            </w:r>
          </w:p>
        </w:tc>
        <w:tc>
          <w:tcPr>
            <w:tcW w:w="1425" w:type="dxa"/>
            <w:tcBorders>
              <w:top w:val="single" w:sz="6" w:space="0" w:color="auto"/>
              <w:left w:val="single" w:sz="6" w:space="0" w:color="auto"/>
              <w:bottom w:val="single" w:sz="6" w:space="0" w:color="auto"/>
              <w:right w:val="single" w:sz="6" w:space="0" w:color="auto"/>
            </w:tcBorders>
          </w:tcPr>
          <w:p w14:paraId="6F1B9DFD" w14:textId="03797001" w:rsidR="001C7FCF" w:rsidRDefault="001C7FCF" w:rsidP="001C7FCF">
            <w:pPr>
              <w:spacing w:before="40" w:after="40"/>
              <w:jc w:val="left"/>
              <w:rPr>
                <w:rFonts w:eastAsia="Arial"/>
                <w:b/>
                <w:bCs/>
                <w:sz w:val="16"/>
                <w:szCs w:val="16"/>
              </w:rPr>
            </w:pPr>
            <w:r w:rsidRPr="38C7AC91">
              <w:rPr>
                <w:rFonts w:eastAsia="Arial"/>
                <w:b/>
                <w:bCs/>
                <w:sz w:val="16"/>
                <w:szCs w:val="16"/>
              </w:rPr>
              <w:t xml:space="preserve">2.5 </w:t>
            </w:r>
            <w:r w:rsidRPr="15DD2DA0">
              <w:rPr>
                <w:rFonts w:eastAsia="Arial"/>
                <w:b/>
                <w:bCs/>
                <w:sz w:val="16"/>
                <w:szCs w:val="16"/>
              </w:rPr>
              <w:t>Biomass stocks</w:t>
            </w:r>
            <w:r w:rsidRPr="38C7AC91">
              <w:rPr>
                <w:rFonts w:eastAsia="Arial"/>
                <w:b/>
                <w:bCs/>
                <w:sz w:val="16"/>
                <w:szCs w:val="16"/>
              </w:rPr>
              <w:t>, para</w:t>
            </w:r>
            <w:r w:rsidRPr="665F983C">
              <w:rPr>
                <w:rFonts w:eastAsia="Arial"/>
                <w:b/>
                <w:bCs/>
                <w:sz w:val="16"/>
                <w:szCs w:val="16"/>
              </w:rPr>
              <w:t xml:space="preserve"> 23</w:t>
            </w:r>
          </w:p>
        </w:tc>
        <w:tc>
          <w:tcPr>
            <w:tcW w:w="922" w:type="dxa"/>
            <w:gridSpan w:val="2"/>
            <w:tcBorders>
              <w:top w:val="single" w:sz="6" w:space="0" w:color="auto"/>
              <w:left w:val="single" w:sz="6" w:space="0" w:color="auto"/>
              <w:bottom w:val="single" w:sz="6" w:space="0" w:color="auto"/>
              <w:right w:val="single" w:sz="6" w:space="0" w:color="auto"/>
            </w:tcBorders>
          </w:tcPr>
          <w:p w14:paraId="0743577A" w14:textId="65047AC8"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794B473A" w14:textId="33E52276" w:rsidR="001C7FCF" w:rsidRDefault="001C7FCF" w:rsidP="001C7FCF">
            <w:pPr>
              <w:spacing w:before="40" w:after="40"/>
              <w:jc w:val="left"/>
              <w:rPr>
                <w:rFonts w:eastAsia="Arial"/>
                <w:b/>
                <w:bCs/>
                <w:sz w:val="16"/>
                <w:szCs w:val="16"/>
              </w:rPr>
            </w:pPr>
            <w:proofErr w:type="spellStart"/>
            <w:r w:rsidRPr="000E295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9F28C7A"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2B679382" w14:textId="1A0760C5" w:rsidR="001C7FCF" w:rsidRPr="00941A70" w:rsidRDefault="001C7FCF" w:rsidP="001C7FCF">
            <w:pPr>
              <w:spacing w:before="40" w:after="40"/>
              <w:jc w:val="left"/>
              <w:rPr>
                <w:rFonts w:eastAsia="Arial"/>
                <w:sz w:val="16"/>
                <w:szCs w:val="16"/>
              </w:rPr>
            </w:pPr>
            <w:r w:rsidRPr="00941A70">
              <w:rPr>
                <w:rFonts w:eastAsia="Arial"/>
                <w:sz w:val="16"/>
                <w:szCs w:val="16"/>
              </w:rPr>
              <w:t xml:space="preserve">Global Forest Watch data is referenced several times as a source of information on forest change. It is not entirely clear the extent to which this data is relied on, yet analysis of a cluster of countries has raised a concern in relation to revised </w:t>
            </w:r>
            <w:proofErr w:type="spellStart"/>
            <w:r w:rsidRPr="00941A70">
              <w:rPr>
                <w:rFonts w:eastAsia="Arial"/>
                <w:sz w:val="16"/>
                <w:szCs w:val="16"/>
              </w:rPr>
              <w:t>fNRB</w:t>
            </w:r>
            <w:proofErr w:type="spellEnd"/>
            <w:r w:rsidRPr="00941A70">
              <w:rPr>
                <w:rFonts w:eastAsia="Arial"/>
                <w:sz w:val="16"/>
                <w:szCs w:val="16"/>
              </w:rPr>
              <w:t xml:space="preserve"> numbers. </w:t>
            </w:r>
          </w:p>
          <w:p w14:paraId="6FCD78E9" w14:textId="571D018B" w:rsidR="001C7FCF" w:rsidRPr="00941A70" w:rsidRDefault="001C7FCF" w:rsidP="001C7FCF">
            <w:pPr>
              <w:spacing w:before="40" w:after="40"/>
              <w:jc w:val="left"/>
              <w:rPr>
                <w:rFonts w:eastAsia="Arial"/>
                <w:sz w:val="16"/>
                <w:szCs w:val="16"/>
              </w:rPr>
            </w:pPr>
            <w:r w:rsidRPr="00941A70">
              <w:rPr>
                <w:rFonts w:eastAsia="Arial"/>
                <w:sz w:val="16"/>
                <w:szCs w:val="16"/>
              </w:rPr>
              <w:t xml:space="preserve">As an example, when reviewing GFW data for several countries from </w:t>
            </w:r>
            <w:hyperlink r:id="rId11" w:history="1">
              <w:r w:rsidRPr="00941A70">
                <w:rPr>
                  <w:rStyle w:val="Hyperlink"/>
                  <w:rFonts w:eastAsia="Arial"/>
                  <w:color w:val="auto"/>
                  <w:sz w:val="16"/>
                  <w:szCs w:val="16"/>
                </w:rPr>
                <w:t>the database</w:t>
              </w:r>
            </w:hyperlink>
            <w:r w:rsidRPr="00941A70">
              <w:rPr>
                <w:rFonts w:eastAsia="Arial"/>
                <w:sz w:val="16"/>
                <w:szCs w:val="16"/>
              </w:rPr>
              <w:t>, it was noted that ‘annual tree cover loss by dominant driver’ between 2001-2023 is as follows for 6 countries within the EAC:</w:t>
            </w:r>
          </w:p>
          <w:p w14:paraId="5AFCA73A" w14:textId="3E59283A" w:rsidR="001C7FCF" w:rsidRPr="00941A70" w:rsidRDefault="001C7FCF" w:rsidP="001C7FCF">
            <w:pPr>
              <w:spacing w:before="40" w:after="40"/>
              <w:jc w:val="left"/>
              <w:rPr>
                <w:rFonts w:eastAsia="Arial"/>
                <w:sz w:val="16"/>
                <w:szCs w:val="16"/>
              </w:rPr>
            </w:pPr>
            <w:r w:rsidRPr="00941A70">
              <w:rPr>
                <w:rFonts w:eastAsia="Arial"/>
                <w:sz w:val="16"/>
                <w:szCs w:val="16"/>
              </w:rPr>
              <w:t xml:space="preserve"> </w:t>
            </w:r>
          </w:p>
          <w:tbl>
            <w:tblPr>
              <w:tblStyle w:val="TableGrid"/>
              <w:tblW w:w="0" w:type="auto"/>
              <w:tblLayout w:type="fixed"/>
              <w:tblLook w:val="04A0" w:firstRow="1" w:lastRow="0" w:firstColumn="1" w:lastColumn="0" w:noHBand="0" w:noVBand="1"/>
            </w:tblPr>
            <w:tblGrid>
              <w:gridCol w:w="960"/>
              <w:gridCol w:w="930"/>
            </w:tblGrid>
            <w:tr w:rsidR="00941A70" w:rsidRPr="00941A70" w14:paraId="46851B4F"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6AE3D48A" w14:textId="430C0212" w:rsidR="001C7FCF" w:rsidRPr="00941A70" w:rsidRDefault="001C7FCF" w:rsidP="001C7FCF">
                  <w:pPr>
                    <w:spacing w:before="40" w:after="40"/>
                    <w:jc w:val="left"/>
                    <w:rPr>
                      <w:rFonts w:eastAsia="Arial"/>
                      <w:sz w:val="16"/>
                      <w:szCs w:val="16"/>
                    </w:rPr>
                  </w:pPr>
                  <w:r w:rsidRPr="00941A70">
                    <w:rPr>
                      <w:rFonts w:eastAsia="Arial"/>
                      <w:sz w:val="16"/>
                      <w:szCs w:val="16"/>
                    </w:rPr>
                    <w:t>Rwanda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73322BBD" w14:textId="590880EA" w:rsidR="001C7FCF" w:rsidRPr="00941A70" w:rsidRDefault="001C7FCF" w:rsidP="001C7FCF">
                  <w:pPr>
                    <w:spacing w:before="40" w:after="40"/>
                    <w:jc w:val="left"/>
                    <w:rPr>
                      <w:rFonts w:eastAsia="Arial"/>
                      <w:sz w:val="16"/>
                      <w:szCs w:val="16"/>
                    </w:rPr>
                  </w:pPr>
                  <w:r w:rsidRPr="00941A70">
                    <w:rPr>
                      <w:rFonts w:eastAsia="Arial"/>
                      <w:sz w:val="16"/>
                      <w:szCs w:val="16"/>
                    </w:rPr>
                    <w:t>12%</w:t>
                  </w:r>
                </w:p>
              </w:tc>
            </w:tr>
            <w:tr w:rsidR="00941A70" w:rsidRPr="00941A70" w14:paraId="5EC06A4C"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3ABCD168" w14:textId="4FB7E88F" w:rsidR="001C7FCF" w:rsidRPr="00941A70" w:rsidRDefault="001C7FCF" w:rsidP="001C7FCF">
                  <w:pPr>
                    <w:spacing w:before="40" w:after="40"/>
                    <w:jc w:val="left"/>
                    <w:rPr>
                      <w:rFonts w:eastAsia="Arial"/>
                      <w:sz w:val="16"/>
                      <w:szCs w:val="16"/>
                    </w:rPr>
                  </w:pPr>
                  <w:r w:rsidRPr="00941A70">
                    <w:rPr>
                      <w:rFonts w:eastAsia="Arial"/>
                      <w:sz w:val="16"/>
                      <w:szCs w:val="16"/>
                    </w:rPr>
                    <w:t>DRC</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2303127B" w14:textId="33D8195C" w:rsidR="001C7FCF" w:rsidRPr="00941A70" w:rsidRDefault="001C7FCF" w:rsidP="001C7FCF">
                  <w:pPr>
                    <w:spacing w:before="40" w:after="40"/>
                    <w:jc w:val="left"/>
                    <w:rPr>
                      <w:rFonts w:eastAsia="Arial"/>
                      <w:sz w:val="16"/>
                      <w:szCs w:val="16"/>
                    </w:rPr>
                  </w:pPr>
                  <w:r w:rsidRPr="00941A70">
                    <w:rPr>
                      <w:rFonts w:eastAsia="Arial"/>
                      <w:sz w:val="16"/>
                      <w:szCs w:val="16"/>
                    </w:rPr>
                    <w:t>0.23%</w:t>
                  </w:r>
                </w:p>
              </w:tc>
            </w:tr>
            <w:tr w:rsidR="00941A70" w:rsidRPr="00941A70" w14:paraId="464F80BC"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37EEB4FF" w14:textId="0821BB74" w:rsidR="001C7FCF" w:rsidRPr="00941A70" w:rsidRDefault="001C7FCF" w:rsidP="001C7FCF">
                  <w:pPr>
                    <w:spacing w:before="40" w:after="40"/>
                    <w:jc w:val="left"/>
                    <w:rPr>
                      <w:rFonts w:eastAsia="Arial"/>
                      <w:sz w:val="16"/>
                      <w:szCs w:val="16"/>
                    </w:rPr>
                  </w:pPr>
                  <w:r w:rsidRPr="00941A70">
                    <w:rPr>
                      <w:rFonts w:eastAsia="Arial"/>
                      <w:sz w:val="16"/>
                      <w:szCs w:val="16"/>
                    </w:rPr>
                    <w:t>Uganda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49901C8B" w14:textId="47E24561" w:rsidR="001C7FCF" w:rsidRPr="00941A70" w:rsidRDefault="001C7FCF" w:rsidP="001C7FCF">
                  <w:pPr>
                    <w:spacing w:before="40" w:after="40"/>
                    <w:jc w:val="left"/>
                    <w:rPr>
                      <w:rFonts w:eastAsia="Arial"/>
                      <w:sz w:val="16"/>
                      <w:szCs w:val="16"/>
                    </w:rPr>
                  </w:pPr>
                  <w:r w:rsidRPr="00941A70">
                    <w:rPr>
                      <w:rFonts w:eastAsia="Arial"/>
                      <w:sz w:val="16"/>
                      <w:szCs w:val="16"/>
                    </w:rPr>
                    <w:t>2.8%</w:t>
                  </w:r>
                </w:p>
              </w:tc>
            </w:tr>
            <w:tr w:rsidR="00941A70" w:rsidRPr="00941A70" w14:paraId="6E74A7EE"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0F28CDC5" w14:textId="08EA62B6" w:rsidR="001C7FCF" w:rsidRPr="00941A70" w:rsidRDefault="001C7FCF" w:rsidP="001C7FCF">
                  <w:pPr>
                    <w:spacing w:before="40" w:after="40"/>
                    <w:jc w:val="left"/>
                    <w:rPr>
                      <w:rFonts w:eastAsia="Arial"/>
                      <w:sz w:val="16"/>
                      <w:szCs w:val="16"/>
                    </w:rPr>
                  </w:pPr>
                  <w:r w:rsidRPr="00941A70">
                    <w:rPr>
                      <w:rFonts w:eastAsia="Arial"/>
                      <w:sz w:val="16"/>
                      <w:szCs w:val="16"/>
                    </w:rPr>
                    <w:t>Tanzania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34609412" w14:textId="22AB5013" w:rsidR="001C7FCF" w:rsidRPr="00941A70" w:rsidRDefault="001C7FCF" w:rsidP="001C7FCF">
                  <w:pPr>
                    <w:spacing w:before="40" w:after="40"/>
                    <w:jc w:val="left"/>
                    <w:rPr>
                      <w:rFonts w:eastAsia="Arial"/>
                      <w:sz w:val="16"/>
                      <w:szCs w:val="16"/>
                    </w:rPr>
                  </w:pPr>
                  <w:r w:rsidRPr="00941A70">
                    <w:rPr>
                      <w:rFonts w:eastAsia="Arial"/>
                      <w:sz w:val="16"/>
                      <w:szCs w:val="16"/>
                    </w:rPr>
                    <w:t>0.64%</w:t>
                  </w:r>
                </w:p>
              </w:tc>
            </w:tr>
            <w:tr w:rsidR="00941A70" w:rsidRPr="00941A70" w14:paraId="612A8E92"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0B7BEF10" w14:textId="3BE7FF62" w:rsidR="001C7FCF" w:rsidRPr="00941A70" w:rsidRDefault="001C7FCF" w:rsidP="001C7FCF">
                  <w:pPr>
                    <w:spacing w:before="40" w:after="40"/>
                    <w:jc w:val="left"/>
                    <w:rPr>
                      <w:rFonts w:eastAsia="Arial"/>
                      <w:sz w:val="16"/>
                      <w:szCs w:val="16"/>
                    </w:rPr>
                  </w:pPr>
                  <w:r w:rsidRPr="00941A70">
                    <w:rPr>
                      <w:rFonts w:eastAsia="Arial"/>
                      <w:sz w:val="16"/>
                      <w:szCs w:val="16"/>
                    </w:rPr>
                    <w:t>Burundi</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2862C941" w14:textId="12F8DF15" w:rsidR="001C7FCF" w:rsidRPr="00941A70" w:rsidRDefault="001C7FCF" w:rsidP="001C7FCF">
                  <w:pPr>
                    <w:spacing w:before="40" w:after="40"/>
                    <w:jc w:val="left"/>
                    <w:rPr>
                      <w:rFonts w:eastAsia="Arial"/>
                      <w:sz w:val="16"/>
                      <w:szCs w:val="16"/>
                    </w:rPr>
                  </w:pPr>
                  <w:r w:rsidRPr="00941A70">
                    <w:rPr>
                      <w:rFonts w:eastAsia="Arial"/>
                      <w:sz w:val="16"/>
                      <w:szCs w:val="16"/>
                    </w:rPr>
                    <w:t>0.85%</w:t>
                  </w:r>
                </w:p>
              </w:tc>
            </w:tr>
            <w:tr w:rsidR="00941A70" w:rsidRPr="00941A70" w14:paraId="540011B7" w14:textId="77777777" w:rsidTr="002C6FB2">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tcPr>
                <w:p w14:paraId="20657F32" w14:textId="7E3D0D6E" w:rsidR="001C7FCF" w:rsidRPr="00941A70" w:rsidRDefault="001C7FCF" w:rsidP="001C7FCF">
                  <w:pPr>
                    <w:spacing w:before="40" w:after="40"/>
                    <w:jc w:val="left"/>
                    <w:rPr>
                      <w:rFonts w:eastAsia="Arial"/>
                      <w:sz w:val="16"/>
                      <w:szCs w:val="16"/>
                    </w:rPr>
                  </w:pPr>
                  <w:r w:rsidRPr="00941A70">
                    <w:rPr>
                      <w:rFonts w:eastAsia="Arial"/>
                      <w:sz w:val="16"/>
                      <w:szCs w:val="16"/>
                    </w:rPr>
                    <w:t>Kenya</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45FDCA88" w14:textId="4EA86136" w:rsidR="001C7FCF" w:rsidRPr="00941A70" w:rsidRDefault="001C7FCF" w:rsidP="001C7FCF">
                  <w:pPr>
                    <w:spacing w:before="40" w:after="40"/>
                    <w:jc w:val="left"/>
                    <w:rPr>
                      <w:rFonts w:eastAsia="Arial"/>
                      <w:sz w:val="16"/>
                      <w:szCs w:val="16"/>
                    </w:rPr>
                  </w:pPr>
                  <w:r w:rsidRPr="00941A70">
                    <w:rPr>
                      <w:rFonts w:eastAsia="Arial"/>
                      <w:sz w:val="16"/>
                      <w:szCs w:val="16"/>
                    </w:rPr>
                    <w:t>3.6%</w:t>
                  </w:r>
                </w:p>
              </w:tc>
            </w:tr>
          </w:tbl>
          <w:p w14:paraId="47AD19A3" w14:textId="58E06299" w:rsidR="001C7FCF" w:rsidRPr="00941A70" w:rsidRDefault="001C7FCF" w:rsidP="001C7FCF">
            <w:pPr>
              <w:spacing w:before="40" w:after="40"/>
              <w:jc w:val="left"/>
              <w:rPr>
                <w:rFonts w:eastAsia="Arial"/>
                <w:sz w:val="16"/>
                <w:szCs w:val="16"/>
              </w:rPr>
            </w:pPr>
            <w:r w:rsidRPr="00941A70">
              <w:rPr>
                <w:rFonts w:eastAsia="Arial"/>
                <w:sz w:val="16"/>
                <w:szCs w:val="16"/>
              </w:rPr>
              <w:t xml:space="preserve"> </w:t>
            </w:r>
          </w:p>
          <w:p w14:paraId="75DA4519" w14:textId="5ACC0DE1" w:rsidR="001C7FCF" w:rsidRPr="00941A70" w:rsidRDefault="001C7FCF" w:rsidP="001C7FCF">
            <w:pPr>
              <w:spacing w:before="40" w:after="40"/>
              <w:jc w:val="left"/>
              <w:rPr>
                <w:rFonts w:eastAsia="Arial"/>
                <w:sz w:val="16"/>
                <w:szCs w:val="16"/>
              </w:rPr>
            </w:pPr>
            <w:r w:rsidRPr="00941A70">
              <w:rPr>
                <w:rFonts w:eastAsia="Arial"/>
                <w:sz w:val="16"/>
                <w:szCs w:val="16"/>
              </w:rPr>
              <w:t xml:space="preserve">Whilst we understand that </w:t>
            </w:r>
            <w:proofErr w:type="spellStart"/>
            <w:r w:rsidRPr="00941A70">
              <w:rPr>
                <w:rFonts w:eastAsia="Arial"/>
                <w:sz w:val="16"/>
                <w:szCs w:val="16"/>
              </w:rPr>
              <w:t>fNRB</w:t>
            </w:r>
            <w:proofErr w:type="spellEnd"/>
            <w:r w:rsidRPr="00941A70">
              <w:rPr>
                <w:rFonts w:eastAsia="Arial"/>
                <w:sz w:val="16"/>
                <w:szCs w:val="16"/>
              </w:rPr>
              <w:t xml:space="preserve"> is calculated under a separate equation, from an overall assessment perspective, it is difficult to understand how Rwanda can have the lowest </w:t>
            </w:r>
            <w:proofErr w:type="spellStart"/>
            <w:r w:rsidRPr="00941A70">
              <w:rPr>
                <w:rFonts w:eastAsia="Arial"/>
                <w:sz w:val="16"/>
                <w:szCs w:val="16"/>
              </w:rPr>
              <w:t>fNRB</w:t>
            </w:r>
            <w:proofErr w:type="spellEnd"/>
            <w:r w:rsidRPr="00941A70">
              <w:rPr>
                <w:rFonts w:eastAsia="Arial"/>
                <w:sz w:val="16"/>
                <w:szCs w:val="16"/>
              </w:rPr>
              <w:t xml:space="preserve"> within this region yet has the highest rate of permanent deforestation occurring because of tree cover loss.</w:t>
            </w:r>
          </w:p>
        </w:tc>
        <w:tc>
          <w:tcPr>
            <w:tcW w:w="4253" w:type="dxa"/>
            <w:tcBorders>
              <w:top w:val="single" w:sz="6" w:space="0" w:color="auto"/>
              <w:left w:val="single" w:sz="6" w:space="0" w:color="auto"/>
              <w:bottom w:val="single" w:sz="6" w:space="0" w:color="auto"/>
              <w:right w:val="single" w:sz="6" w:space="0" w:color="auto"/>
            </w:tcBorders>
          </w:tcPr>
          <w:p w14:paraId="24E4F0AC" w14:textId="06287FD1" w:rsidR="001C7FCF" w:rsidRPr="00941A70" w:rsidRDefault="001C7FCF" w:rsidP="001C7FCF">
            <w:pPr>
              <w:spacing w:before="40" w:after="40"/>
              <w:jc w:val="left"/>
              <w:rPr>
                <w:rFonts w:eastAsia="Arial"/>
                <w:sz w:val="16"/>
                <w:szCs w:val="16"/>
              </w:rPr>
            </w:pPr>
            <w:r w:rsidRPr="00941A70">
              <w:rPr>
                <w:rFonts w:eastAsia="Arial"/>
                <w:sz w:val="16"/>
                <w:szCs w:val="16"/>
              </w:rPr>
              <w:t xml:space="preserve">The comparison of Global Forest Watch data with regards to the relationship between overall tree cover loss and annual tree cover loss by dominant driver (resulting in permanent deforestation) suggests a reassessment of the </w:t>
            </w:r>
            <w:proofErr w:type="spellStart"/>
            <w:r w:rsidRPr="00941A70">
              <w:rPr>
                <w:rFonts w:eastAsia="Arial"/>
                <w:sz w:val="16"/>
                <w:szCs w:val="16"/>
              </w:rPr>
              <w:t>fNRB</w:t>
            </w:r>
            <w:proofErr w:type="spellEnd"/>
            <w:r w:rsidRPr="00941A70">
              <w:rPr>
                <w:rFonts w:eastAsia="Arial"/>
                <w:sz w:val="16"/>
                <w:szCs w:val="16"/>
              </w:rPr>
              <w:t xml:space="preserve"> value. This has been evidence for </w:t>
            </w:r>
            <w:proofErr w:type="gramStart"/>
            <w:r w:rsidRPr="00941A70">
              <w:rPr>
                <w:rFonts w:eastAsia="Arial"/>
                <w:sz w:val="16"/>
                <w:szCs w:val="16"/>
              </w:rPr>
              <w:t>Rwanda</w:t>
            </w:r>
            <w:proofErr w:type="gramEnd"/>
            <w:r w:rsidRPr="00941A70">
              <w:rPr>
                <w:rFonts w:eastAsia="Arial"/>
                <w:sz w:val="16"/>
                <w:szCs w:val="16"/>
              </w:rPr>
              <w:t xml:space="preserve"> and it is likely needed for other countries.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1C7FCF" w:rsidRDefault="001C7FCF" w:rsidP="001C7FCF">
            <w:pPr>
              <w:keepLines/>
              <w:spacing w:before="40" w:after="40" w:line="190" w:lineRule="exact"/>
              <w:jc w:val="left"/>
              <w:rPr>
                <w:b/>
                <w:bCs/>
                <w:sz w:val="16"/>
                <w:szCs w:val="16"/>
              </w:rPr>
            </w:pPr>
          </w:p>
        </w:tc>
      </w:tr>
      <w:tr w:rsidR="001C7FCF" w14:paraId="335D5762"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FC90566" w14:textId="16767ED8" w:rsidR="001C7FCF" w:rsidRDefault="002C1B9B" w:rsidP="001C7FCF">
            <w:pPr>
              <w:keepLines/>
              <w:spacing w:before="40" w:after="40" w:line="190" w:lineRule="exact"/>
              <w:jc w:val="left"/>
              <w:rPr>
                <w:b/>
                <w:bCs/>
                <w:sz w:val="16"/>
                <w:szCs w:val="16"/>
              </w:rPr>
            </w:pPr>
            <w:r>
              <w:rPr>
                <w:b/>
                <w:bCs/>
                <w:sz w:val="16"/>
                <w:szCs w:val="16"/>
              </w:rPr>
              <w:lastRenderedPageBreak/>
              <w:t>16</w:t>
            </w:r>
          </w:p>
        </w:tc>
        <w:tc>
          <w:tcPr>
            <w:tcW w:w="1425" w:type="dxa"/>
            <w:tcBorders>
              <w:top w:val="single" w:sz="6" w:space="0" w:color="auto"/>
              <w:left w:val="single" w:sz="6" w:space="0" w:color="auto"/>
              <w:bottom w:val="single" w:sz="6" w:space="0" w:color="auto"/>
              <w:right w:val="single" w:sz="6" w:space="0" w:color="auto"/>
            </w:tcBorders>
          </w:tcPr>
          <w:p w14:paraId="34C2C472" w14:textId="7628FB60" w:rsidR="001C7FCF" w:rsidRDefault="001C7FCF" w:rsidP="001C7FCF">
            <w:pPr>
              <w:spacing w:before="40" w:after="40"/>
              <w:jc w:val="left"/>
              <w:rPr>
                <w:rFonts w:eastAsia="Arial"/>
                <w:b/>
                <w:bCs/>
                <w:sz w:val="16"/>
                <w:szCs w:val="16"/>
              </w:rPr>
            </w:pPr>
            <w:r w:rsidRPr="00D9A150">
              <w:rPr>
                <w:rFonts w:eastAsia="Arial"/>
                <w:b/>
                <w:bCs/>
                <w:sz w:val="16"/>
                <w:szCs w:val="16"/>
              </w:rPr>
              <w:t>2.5 Biomass stocks, Para 23</w:t>
            </w:r>
          </w:p>
          <w:p w14:paraId="6D9BEBC6" w14:textId="7AD59B15" w:rsidR="001C7FCF" w:rsidRDefault="001C7FCF" w:rsidP="001C7FCF">
            <w:pPr>
              <w:spacing w:before="40" w:after="40"/>
              <w:jc w:val="left"/>
              <w:rPr>
                <w:rFonts w:eastAsia="Arial"/>
                <w:b/>
                <w:bCs/>
                <w:sz w:val="16"/>
                <w:szCs w:val="16"/>
              </w:rPr>
            </w:pPr>
          </w:p>
          <w:p w14:paraId="76E171DC" w14:textId="2B0F7735" w:rsidR="001C7FCF" w:rsidRDefault="001C7FCF" w:rsidP="001C7FCF">
            <w:pPr>
              <w:spacing w:before="40" w:after="40"/>
              <w:jc w:val="left"/>
              <w:rPr>
                <w:rFonts w:eastAsia="Arial"/>
                <w:b/>
                <w:bCs/>
                <w:sz w:val="16"/>
                <w:szCs w:val="16"/>
              </w:rPr>
            </w:pPr>
          </w:p>
        </w:tc>
        <w:tc>
          <w:tcPr>
            <w:tcW w:w="922" w:type="dxa"/>
            <w:gridSpan w:val="2"/>
            <w:tcBorders>
              <w:top w:val="single" w:sz="6" w:space="0" w:color="auto"/>
              <w:left w:val="single" w:sz="6" w:space="0" w:color="auto"/>
              <w:bottom w:val="single" w:sz="6" w:space="0" w:color="auto"/>
              <w:right w:val="single" w:sz="6" w:space="0" w:color="auto"/>
            </w:tcBorders>
          </w:tcPr>
          <w:p w14:paraId="54968B77" w14:textId="507A3DA6" w:rsidR="001C7FCF" w:rsidRDefault="001C7FCF" w:rsidP="001C7FCF">
            <w:pPr>
              <w:spacing w:before="40" w:after="40"/>
              <w:jc w:val="left"/>
              <w:rPr>
                <w:rFonts w:eastAsia="Arial"/>
                <w:b/>
                <w:bCs/>
                <w:sz w:val="16"/>
                <w:szCs w:val="16"/>
              </w:rPr>
            </w:pPr>
            <w:r w:rsidRPr="186F6602">
              <w:rPr>
                <w:rFonts w:eastAsia="Arial"/>
                <w:b/>
                <w:bCs/>
                <w:sz w:val="16"/>
                <w:szCs w:val="16"/>
              </w:rPr>
              <w:t>23</w:t>
            </w:r>
          </w:p>
        </w:tc>
        <w:tc>
          <w:tcPr>
            <w:tcW w:w="980" w:type="dxa"/>
            <w:tcBorders>
              <w:top w:val="single" w:sz="6" w:space="0" w:color="auto"/>
              <w:left w:val="single" w:sz="6" w:space="0" w:color="auto"/>
              <w:bottom w:val="single" w:sz="6" w:space="0" w:color="auto"/>
              <w:right w:val="single" w:sz="6" w:space="0" w:color="auto"/>
            </w:tcBorders>
          </w:tcPr>
          <w:p w14:paraId="784A8FF4" w14:textId="7C9BDE58" w:rsidR="001C7FCF" w:rsidRDefault="001C7FCF" w:rsidP="001C7FCF">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DA801BF" w14:textId="77777777" w:rsidR="001C7FCF" w:rsidRPr="00941A70" w:rsidRDefault="001C7FCF" w:rsidP="001C7FCF">
            <w:pPr>
              <w:spacing w:before="40" w:after="40"/>
              <w:jc w:val="left"/>
              <w:rPr>
                <w:rFonts w:eastAsia="Arial"/>
                <w:b/>
                <w:bCs/>
                <w:sz w:val="16"/>
                <w:szCs w:val="16"/>
              </w:rPr>
            </w:pPr>
            <w:r w:rsidRPr="00941A70">
              <w:rPr>
                <w:rFonts w:eastAsia="Arial"/>
                <w:b/>
                <w:bCs/>
                <w:sz w:val="16"/>
                <w:szCs w:val="16"/>
              </w:rPr>
              <w:t>Data Inputs: Biomass Stocks</w:t>
            </w:r>
          </w:p>
          <w:p w14:paraId="62ECBD12" w14:textId="77777777" w:rsidR="001C7FCF" w:rsidRPr="00941A70" w:rsidRDefault="001C7FCF" w:rsidP="001C7FCF">
            <w:pPr>
              <w:spacing w:before="40" w:after="40"/>
              <w:jc w:val="left"/>
              <w:rPr>
                <w:rFonts w:eastAsia="Arial"/>
                <w:sz w:val="16"/>
                <w:szCs w:val="16"/>
              </w:rPr>
            </w:pPr>
            <w:r w:rsidRPr="00941A70">
              <w:rPr>
                <w:rFonts w:eastAsia="Arial"/>
                <w:sz w:val="16"/>
                <w:szCs w:val="16"/>
              </w:rPr>
              <w:t xml:space="preserve">The Global Forest Watch data has particularly come under scrutiny. It requires a very high threshold of change: pixels are 30 meters in size, and a pixel is classified as "deforested" only when it has almost been entirely cleared. So, if half the pixel has been cleared, it does not measure as deforestation. </w:t>
            </w:r>
          </w:p>
          <w:p w14:paraId="2F1E4617" w14:textId="77777777" w:rsidR="001C7FCF" w:rsidRPr="00941A70" w:rsidRDefault="001C7FCF" w:rsidP="001C7FCF">
            <w:pPr>
              <w:spacing w:before="40" w:after="40"/>
              <w:jc w:val="left"/>
              <w:rPr>
                <w:rFonts w:eastAsia="Arial"/>
                <w:sz w:val="16"/>
                <w:szCs w:val="16"/>
              </w:rPr>
            </w:pPr>
          </w:p>
          <w:p w14:paraId="2BA8F6C6" w14:textId="3773B613" w:rsidR="001C7FCF" w:rsidRPr="00941A70" w:rsidRDefault="001C7FCF" w:rsidP="001C7FCF">
            <w:pPr>
              <w:spacing w:before="40" w:after="40"/>
              <w:jc w:val="left"/>
              <w:rPr>
                <w:rFonts w:eastAsia="Arial"/>
                <w:sz w:val="16"/>
                <w:szCs w:val="16"/>
              </w:rPr>
            </w:pPr>
            <w:r w:rsidRPr="00941A70">
              <w:rPr>
                <w:rFonts w:eastAsia="Arial"/>
                <w:sz w:val="16"/>
                <w:szCs w:val="16"/>
              </w:rPr>
              <w:t>As an example, the data classifies all of Rwanda's plantations as forest which means that whole 30 metre pixels will need to be cleared before it is deemed as deforested. Rwanda is unlikely to clear 30 metres in one specific pixel due to the land constraints and instead are likely to be deforesting across numerous pixels but rarely 100% within a specific pixel and as such deforestation in Rwanda is likely to be significantly understated. Therefore, it is not a surprise that the GFC suggests that Rwanda is "stable" when Government documents suggested a significantly growing deforestation problem with citizens struggling to access biomass for their fuel needs.</w:t>
            </w:r>
          </w:p>
        </w:tc>
        <w:tc>
          <w:tcPr>
            <w:tcW w:w="4253" w:type="dxa"/>
            <w:tcBorders>
              <w:top w:val="single" w:sz="6" w:space="0" w:color="auto"/>
              <w:left w:val="single" w:sz="6" w:space="0" w:color="auto"/>
              <w:bottom w:val="single" w:sz="6" w:space="0" w:color="auto"/>
              <w:right w:val="single" w:sz="6" w:space="0" w:color="auto"/>
            </w:tcBorders>
          </w:tcPr>
          <w:p w14:paraId="06434B67" w14:textId="6D1CC8F2" w:rsidR="001C7FCF" w:rsidRPr="00941A70" w:rsidRDefault="001C7FCF" w:rsidP="001C7FCF">
            <w:pPr>
              <w:spacing w:before="40" w:after="40"/>
              <w:jc w:val="left"/>
              <w:rPr>
                <w:rFonts w:eastAsia="Arial"/>
                <w:sz w:val="16"/>
                <w:szCs w:val="16"/>
              </w:rPr>
            </w:pPr>
            <w:r w:rsidRPr="00941A70">
              <w:rPr>
                <w:rFonts w:eastAsia="Arial"/>
                <w:sz w:val="16"/>
                <w:szCs w:val="16"/>
              </w:rPr>
              <w:t xml:space="preserve">Country specific data and locally produced spatial maps are needed to calculate an accurate </w:t>
            </w:r>
            <w:proofErr w:type="spellStart"/>
            <w:r w:rsidRPr="00941A70">
              <w:rPr>
                <w:rFonts w:eastAsia="Arial"/>
                <w:sz w:val="16"/>
                <w:szCs w:val="16"/>
              </w:rPr>
              <w:t>fNRB</w:t>
            </w:r>
            <w:proofErr w:type="spellEnd"/>
            <w:r w:rsidRPr="00941A70">
              <w:rPr>
                <w:rFonts w:eastAsia="Arial"/>
                <w:sz w:val="16"/>
                <w:szCs w:val="16"/>
              </w:rPr>
              <w:t xml:space="preserve"> figure.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1C7FCF" w:rsidRDefault="001C7FCF" w:rsidP="001C7FCF">
            <w:pPr>
              <w:keepLines/>
              <w:spacing w:before="40" w:after="40" w:line="190" w:lineRule="exact"/>
              <w:jc w:val="left"/>
              <w:rPr>
                <w:b/>
                <w:bCs/>
                <w:sz w:val="16"/>
                <w:szCs w:val="16"/>
              </w:rPr>
            </w:pPr>
          </w:p>
        </w:tc>
      </w:tr>
      <w:tr w:rsidR="00013F5C" w14:paraId="05012245"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5F0A286" w14:textId="19B3358B" w:rsidR="00013F5C" w:rsidRDefault="002C1B9B" w:rsidP="00013F5C">
            <w:pPr>
              <w:spacing w:line="190" w:lineRule="exact"/>
              <w:jc w:val="left"/>
              <w:rPr>
                <w:b/>
                <w:bCs/>
                <w:sz w:val="16"/>
                <w:szCs w:val="16"/>
              </w:rPr>
            </w:pPr>
            <w:r>
              <w:rPr>
                <w:b/>
                <w:bCs/>
                <w:sz w:val="16"/>
                <w:szCs w:val="16"/>
              </w:rPr>
              <w:lastRenderedPageBreak/>
              <w:t>17</w:t>
            </w:r>
          </w:p>
        </w:tc>
        <w:tc>
          <w:tcPr>
            <w:tcW w:w="1425" w:type="dxa"/>
            <w:tcBorders>
              <w:top w:val="single" w:sz="6" w:space="0" w:color="auto"/>
              <w:left w:val="single" w:sz="6" w:space="0" w:color="auto"/>
              <w:bottom w:val="single" w:sz="6" w:space="0" w:color="auto"/>
              <w:right w:val="single" w:sz="6" w:space="0" w:color="auto"/>
            </w:tcBorders>
          </w:tcPr>
          <w:p w14:paraId="687D563D" w14:textId="7E216D43" w:rsidR="00013F5C" w:rsidRDefault="00013F5C" w:rsidP="00013F5C">
            <w:pPr>
              <w:spacing w:before="40" w:after="40"/>
              <w:jc w:val="left"/>
              <w:rPr>
                <w:rFonts w:eastAsia="Arial"/>
                <w:b/>
                <w:bCs/>
                <w:sz w:val="16"/>
                <w:szCs w:val="16"/>
              </w:rPr>
            </w:pPr>
            <w:r w:rsidRPr="41EFA3D2">
              <w:rPr>
                <w:rFonts w:eastAsia="Arial"/>
                <w:b/>
                <w:bCs/>
                <w:sz w:val="16"/>
                <w:szCs w:val="16"/>
              </w:rPr>
              <w:t xml:space="preserve">2.5 </w:t>
            </w:r>
            <w:r w:rsidRPr="41EFA3D2">
              <w:rPr>
                <w:rFonts w:eastAsia="Arial"/>
                <w:b/>
                <w:sz w:val="16"/>
                <w:szCs w:val="16"/>
              </w:rPr>
              <w:t>Biomass stocks</w:t>
            </w:r>
            <w:r w:rsidRPr="41EFA3D2">
              <w:rPr>
                <w:rFonts w:eastAsia="Arial"/>
                <w:b/>
                <w:bCs/>
                <w:sz w:val="16"/>
                <w:szCs w:val="16"/>
              </w:rPr>
              <w:t xml:space="preserve">, Para </w:t>
            </w:r>
            <w:r w:rsidRPr="52820B5F">
              <w:rPr>
                <w:rFonts w:eastAsia="Arial"/>
                <w:b/>
                <w:bCs/>
                <w:sz w:val="16"/>
                <w:szCs w:val="16"/>
              </w:rPr>
              <w:t>24</w:t>
            </w:r>
          </w:p>
          <w:p w14:paraId="5E4A4513" w14:textId="0BFBA7BB" w:rsidR="00013F5C" w:rsidRDefault="00013F5C" w:rsidP="00013F5C">
            <w:pPr>
              <w:spacing w:before="40" w:after="40"/>
              <w:jc w:val="left"/>
              <w:rPr>
                <w:rFonts w:eastAsia="Arial"/>
                <w:b/>
                <w:sz w:val="16"/>
                <w:szCs w:val="16"/>
              </w:rPr>
            </w:pPr>
          </w:p>
        </w:tc>
        <w:tc>
          <w:tcPr>
            <w:tcW w:w="922" w:type="dxa"/>
            <w:gridSpan w:val="2"/>
            <w:tcBorders>
              <w:top w:val="single" w:sz="6" w:space="0" w:color="auto"/>
              <w:left w:val="single" w:sz="6" w:space="0" w:color="auto"/>
              <w:bottom w:val="single" w:sz="6" w:space="0" w:color="auto"/>
              <w:right w:val="single" w:sz="6" w:space="0" w:color="auto"/>
            </w:tcBorders>
          </w:tcPr>
          <w:p w14:paraId="3EE1D946" w14:textId="2C50B2C8" w:rsidR="00013F5C" w:rsidRDefault="00013F5C" w:rsidP="00013F5C">
            <w:pPr>
              <w:spacing w:before="40" w:after="40"/>
              <w:jc w:val="left"/>
              <w:rPr>
                <w:rFonts w:eastAsia="Arial"/>
                <w:b/>
                <w:bCs/>
                <w:sz w:val="16"/>
                <w:szCs w:val="16"/>
              </w:rPr>
            </w:pPr>
            <w:r>
              <w:rPr>
                <w:b/>
                <w:bCs/>
                <w:sz w:val="16"/>
                <w:szCs w:val="16"/>
              </w:rPr>
              <w:t>24</w:t>
            </w:r>
          </w:p>
        </w:tc>
        <w:tc>
          <w:tcPr>
            <w:tcW w:w="980" w:type="dxa"/>
            <w:tcBorders>
              <w:top w:val="single" w:sz="6" w:space="0" w:color="auto"/>
              <w:left w:val="single" w:sz="6" w:space="0" w:color="auto"/>
              <w:bottom w:val="single" w:sz="6" w:space="0" w:color="auto"/>
              <w:right w:val="single" w:sz="6" w:space="0" w:color="auto"/>
            </w:tcBorders>
          </w:tcPr>
          <w:p w14:paraId="4EB8C101" w14:textId="2EE75F33" w:rsidR="00013F5C" w:rsidRDefault="00013F5C" w:rsidP="00013F5C">
            <w:pPr>
              <w:spacing w:before="40" w:after="40"/>
              <w:jc w:val="left"/>
              <w:rPr>
                <w:rFonts w:eastAsia="Arial"/>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C3AD407" w14:textId="38E89C13" w:rsidR="00013F5C" w:rsidRPr="00941A70" w:rsidRDefault="00013F5C" w:rsidP="00013F5C">
            <w:pPr>
              <w:spacing w:before="40" w:after="40"/>
              <w:jc w:val="left"/>
              <w:rPr>
                <w:rFonts w:eastAsia="Arial"/>
                <w:b/>
                <w:sz w:val="16"/>
                <w:szCs w:val="16"/>
              </w:rPr>
            </w:pPr>
            <w:r w:rsidRPr="00941A70">
              <w:rPr>
                <w:rFonts w:eastAsia="Arial"/>
                <w:b/>
                <w:sz w:val="16"/>
                <w:szCs w:val="16"/>
              </w:rPr>
              <w:t>Data Inputs: Biomass Stocks</w:t>
            </w:r>
          </w:p>
          <w:p w14:paraId="09D28881" w14:textId="3E48F31B" w:rsidR="00013F5C" w:rsidRPr="00941A70" w:rsidRDefault="00013F5C" w:rsidP="00013F5C">
            <w:pPr>
              <w:keepLines/>
              <w:spacing w:before="40" w:after="40" w:line="190" w:lineRule="exact"/>
              <w:rPr>
                <w:rFonts w:eastAsia="Arial"/>
                <w:sz w:val="16"/>
                <w:szCs w:val="16"/>
              </w:rPr>
            </w:pPr>
            <w:r w:rsidRPr="00941A70">
              <w:rPr>
                <w:rFonts w:eastAsia="Arial"/>
                <w:sz w:val="16"/>
                <w:szCs w:val="16"/>
              </w:rPr>
              <w:t xml:space="preserve">The data sets used to map above ground biomass are global models from 2010. We understand the need to train the predictive </w:t>
            </w:r>
            <w:proofErr w:type="gramStart"/>
            <w:r w:rsidRPr="00941A70">
              <w:rPr>
                <w:rFonts w:eastAsia="Arial"/>
                <w:sz w:val="16"/>
                <w:szCs w:val="16"/>
              </w:rPr>
              <w:t>model, but</w:t>
            </w:r>
            <w:proofErr w:type="gramEnd"/>
            <w:r w:rsidRPr="00941A70">
              <w:rPr>
                <w:rFonts w:eastAsia="Arial"/>
                <w:sz w:val="16"/>
                <w:szCs w:val="16"/>
              </w:rPr>
              <w:t xml:space="preserve"> recommend that simulated biomass stocks for 2010-2024 are validated with contemporary satellite data, and ground truthing studies.</w:t>
            </w:r>
          </w:p>
          <w:p w14:paraId="7ECA1271" w14:textId="77777777" w:rsidR="00013F5C" w:rsidRPr="00941A70" w:rsidRDefault="00013F5C" w:rsidP="00013F5C">
            <w:pPr>
              <w:keepLines/>
              <w:spacing w:before="40" w:after="40" w:line="190" w:lineRule="exact"/>
              <w:rPr>
                <w:rFonts w:eastAsia="Arial"/>
                <w:sz w:val="16"/>
                <w:szCs w:val="16"/>
              </w:rPr>
            </w:pPr>
          </w:p>
          <w:p w14:paraId="3EB3B55A" w14:textId="77777777" w:rsidR="00013F5C" w:rsidRDefault="00013F5C" w:rsidP="00013F5C">
            <w:pPr>
              <w:keepLines/>
              <w:spacing w:before="40" w:after="40" w:line="190" w:lineRule="exact"/>
              <w:rPr>
                <w:rFonts w:eastAsia="Arial"/>
                <w:sz w:val="16"/>
                <w:szCs w:val="16"/>
              </w:rPr>
            </w:pPr>
            <w:r w:rsidRPr="00941A70">
              <w:rPr>
                <w:rFonts w:eastAsia="Arial"/>
                <w:sz w:val="16"/>
                <w:szCs w:val="16"/>
              </w:rPr>
              <w:t xml:space="preserve">We note the authors aims to </w:t>
            </w:r>
            <w:r w:rsidRPr="00941A70">
              <w:rPr>
                <w:sz w:val="16"/>
                <w:szCs w:val="16"/>
              </w:rPr>
              <w:t xml:space="preserve">“calibrate our models to observed changes that occurred over leading up to 2010,” and recommend the same approach is applied to the </w:t>
            </w:r>
            <w:proofErr w:type="gramStart"/>
            <w:r w:rsidRPr="00941A70">
              <w:rPr>
                <w:rFonts w:eastAsia="Arial"/>
                <w:sz w:val="16"/>
                <w:szCs w:val="16"/>
              </w:rPr>
              <w:t>time period</w:t>
            </w:r>
            <w:proofErr w:type="gramEnd"/>
            <w:r w:rsidRPr="00941A70">
              <w:rPr>
                <w:rFonts w:eastAsia="Arial"/>
                <w:sz w:val="16"/>
                <w:szCs w:val="16"/>
              </w:rPr>
              <w:t xml:space="preserve"> up to the present. We strongly recommend undertaking this exercise and presenting the findings in the report to show alignment and/or discrepancies.</w:t>
            </w:r>
          </w:p>
          <w:p w14:paraId="58B49B96" w14:textId="77777777" w:rsidR="005E3629" w:rsidRDefault="005E3629" w:rsidP="00013F5C">
            <w:pPr>
              <w:keepLines/>
              <w:spacing w:before="40" w:after="40" w:line="190" w:lineRule="exact"/>
              <w:rPr>
                <w:rFonts w:eastAsia="Arial"/>
                <w:sz w:val="16"/>
                <w:szCs w:val="16"/>
              </w:rPr>
            </w:pPr>
          </w:p>
          <w:p w14:paraId="54513967" w14:textId="40F285F2" w:rsidR="005E3629" w:rsidRPr="00941A70" w:rsidRDefault="005E3629" w:rsidP="00013F5C">
            <w:pPr>
              <w:keepLines/>
              <w:spacing w:before="40" w:after="40" w:line="190" w:lineRule="exact"/>
              <w:rPr>
                <w:rFonts w:eastAsia="Arial"/>
                <w:sz w:val="16"/>
                <w:szCs w:val="16"/>
              </w:rPr>
            </w:pPr>
            <w:r w:rsidRPr="06764C2B">
              <w:rPr>
                <w:rFonts w:eastAsia="Arial"/>
                <w:sz w:val="16"/>
                <w:szCs w:val="16"/>
              </w:rPr>
              <w:t xml:space="preserve">Given the severity of loss in the forest cover due to unsustainable harvesting of wood fuels and deforestation predominantly in SSA regions in the last decade, It is obvious that the biomass stocks available in 2020 will substantially differ from 2010, therefore the resulted </w:t>
            </w:r>
            <w:proofErr w:type="spellStart"/>
            <w:r w:rsidRPr="06764C2B">
              <w:rPr>
                <w:rFonts w:eastAsia="Arial"/>
                <w:sz w:val="16"/>
                <w:szCs w:val="16"/>
              </w:rPr>
              <w:t>fNRB</w:t>
            </w:r>
            <w:proofErr w:type="spellEnd"/>
            <w:r w:rsidRPr="06764C2B">
              <w:rPr>
                <w:rFonts w:eastAsia="Arial"/>
                <w:sz w:val="16"/>
                <w:szCs w:val="16"/>
              </w:rPr>
              <w:t xml:space="preserve"> values from the </w:t>
            </w:r>
            <w:proofErr w:type="spellStart"/>
            <w:r w:rsidR="00847B1A">
              <w:rPr>
                <w:rFonts w:eastAsia="Arial"/>
                <w:sz w:val="16"/>
                <w:szCs w:val="16"/>
              </w:rPr>
              <w:t>MoFuSS</w:t>
            </w:r>
            <w:proofErr w:type="spellEnd"/>
            <w:r w:rsidRPr="06764C2B">
              <w:rPr>
                <w:rFonts w:eastAsia="Arial"/>
                <w:sz w:val="16"/>
                <w:szCs w:val="16"/>
              </w:rPr>
              <w:t xml:space="preserve"> study considering 2010 biomass stocks will have highest degree of uncertainty unless proven otherwise through calibrations of model by tracking the changes occurred in the past.   </w:t>
            </w:r>
          </w:p>
        </w:tc>
        <w:tc>
          <w:tcPr>
            <w:tcW w:w="4253" w:type="dxa"/>
            <w:tcBorders>
              <w:top w:val="single" w:sz="6" w:space="0" w:color="auto"/>
              <w:left w:val="single" w:sz="6" w:space="0" w:color="auto"/>
              <w:bottom w:val="single" w:sz="6" w:space="0" w:color="auto"/>
              <w:right w:val="single" w:sz="6" w:space="0" w:color="auto"/>
            </w:tcBorders>
          </w:tcPr>
          <w:p w14:paraId="486167C9" w14:textId="77777777" w:rsidR="00013F5C" w:rsidRPr="00941A70" w:rsidRDefault="00013F5C" w:rsidP="00013F5C">
            <w:pPr>
              <w:spacing w:before="40" w:after="40"/>
              <w:jc w:val="left"/>
              <w:rPr>
                <w:sz w:val="16"/>
                <w:szCs w:val="16"/>
              </w:rPr>
            </w:pPr>
            <w:r w:rsidRPr="00941A70">
              <w:rPr>
                <w:sz w:val="16"/>
                <w:szCs w:val="16"/>
              </w:rPr>
              <w:t>Please add a section on how the model calibration for biomass stocks were completed and add calibration plots.</w:t>
            </w:r>
          </w:p>
          <w:p w14:paraId="73DC2109" w14:textId="77777777" w:rsidR="00013F5C" w:rsidRPr="00941A70" w:rsidRDefault="00013F5C" w:rsidP="00013F5C">
            <w:pPr>
              <w:spacing w:before="40" w:after="40"/>
              <w:jc w:val="left"/>
              <w:rPr>
                <w:sz w:val="16"/>
                <w:szCs w:val="16"/>
              </w:rPr>
            </w:pPr>
          </w:p>
          <w:p w14:paraId="0A5D92BF" w14:textId="77777777" w:rsidR="00013F5C" w:rsidRDefault="00013F5C" w:rsidP="00013F5C">
            <w:pPr>
              <w:spacing w:before="40" w:after="40"/>
              <w:jc w:val="left"/>
              <w:rPr>
                <w:rFonts w:eastAsia="Arial"/>
                <w:sz w:val="16"/>
                <w:szCs w:val="16"/>
              </w:rPr>
            </w:pPr>
            <w:r w:rsidRPr="00941A70">
              <w:rPr>
                <w:rFonts w:eastAsia="Arial"/>
                <w:sz w:val="16"/>
                <w:szCs w:val="16"/>
              </w:rPr>
              <w:t xml:space="preserve">In particular, the report should include a cross comparison between 2020 data generated by the model and real observed 2020 biomass stocks. This can help validate the predictions from the model. </w:t>
            </w:r>
          </w:p>
          <w:p w14:paraId="39A92671" w14:textId="77777777" w:rsidR="005E3629" w:rsidRDefault="005E3629" w:rsidP="00013F5C">
            <w:pPr>
              <w:spacing w:before="40" w:after="40"/>
              <w:jc w:val="left"/>
              <w:rPr>
                <w:rFonts w:eastAsia="Arial"/>
                <w:sz w:val="16"/>
                <w:szCs w:val="16"/>
              </w:rPr>
            </w:pPr>
          </w:p>
          <w:p w14:paraId="0B14B674" w14:textId="77777777" w:rsidR="005E3629" w:rsidRDefault="005E3629" w:rsidP="005E3629">
            <w:pPr>
              <w:spacing w:before="40" w:after="40"/>
              <w:rPr>
                <w:rFonts w:eastAsia="Arial"/>
                <w:sz w:val="16"/>
                <w:szCs w:val="16"/>
              </w:rPr>
            </w:pPr>
            <w:r w:rsidRPr="06764C2B">
              <w:rPr>
                <w:rFonts w:eastAsia="Arial"/>
                <w:sz w:val="16"/>
                <w:szCs w:val="16"/>
              </w:rPr>
              <w:t xml:space="preserve">We strongly recommend the researchers use to most recent biomass stock maps or alternatively if the NASA vintage maps is still used a validation process is a must. UNFCCC shall ensure the model is fully calibrated to garner wide acceptability from the carbon / scientific community.    </w:t>
            </w:r>
          </w:p>
          <w:p w14:paraId="5CA0D443" w14:textId="625D49A0" w:rsidR="005E3629" w:rsidRPr="00941A70" w:rsidRDefault="005E3629" w:rsidP="00013F5C">
            <w:pPr>
              <w:spacing w:before="40" w:after="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8FA76EC" w14:textId="20AE1CE4" w:rsidR="00013F5C" w:rsidRDefault="00013F5C" w:rsidP="00013F5C">
            <w:pPr>
              <w:spacing w:line="190" w:lineRule="exact"/>
              <w:jc w:val="left"/>
              <w:rPr>
                <w:b/>
                <w:bCs/>
                <w:sz w:val="16"/>
                <w:szCs w:val="16"/>
              </w:rPr>
            </w:pPr>
          </w:p>
        </w:tc>
      </w:tr>
      <w:tr w:rsidR="00013F5C" w14:paraId="0347959F"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D956ED8" w14:textId="30D7A390" w:rsidR="00013F5C" w:rsidRPr="2F9FB2F3" w:rsidRDefault="002C1B9B" w:rsidP="00013F5C">
            <w:pPr>
              <w:spacing w:line="190" w:lineRule="exact"/>
              <w:jc w:val="left"/>
              <w:rPr>
                <w:b/>
                <w:bCs/>
                <w:sz w:val="16"/>
                <w:szCs w:val="16"/>
              </w:rPr>
            </w:pPr>
            <w:r>
              <w:rPr>
                <w:b/>
                <w:bCs/>
                <w:sz w:val="16"/>
                <w:szCs w:val="16"/>
              </w:rPr>
              <w:lastRenderedPageBreak/>
              <w:t>18</w:t>
            </w:r>
          </w:p>
        </w:tc>
        <w:tc>
          <w:tcPr>
            <w:tcW w:w="1425" w:type="dxa"/>
            <w:tcBorders>
              <w:top w:val="single" w:sz="6" w:space="0" w:color="auto"/>
              <w:left w:val="single" w:sz="6" w:space="0" w:color="auto"/>
              <w:bottom w:val="single" w:sz="6" w:space="0" w:color="auto"/>
              <w:right w:val="single" w:sz="6" w:space="0" w:color="auto"/>
            </w:tcBorders>
          </w:tcPr>
          <w:p w14:paraId="78CA43E2" w14:textId="6980A18E" w:rsidR="00013F5C" w:rsidRPr="092178E1" w:rsidRDefault="00013F5C" w:rsidP="00013F5C">
            <w:pPr>
              <w:spacing w:before="40" w:after="40"/>
              <w:jc w:val="left"/>
              <w:rPr>
                <w:rFonts w:eastAsia="Arial"/>
                <w:b/>
                <w:bCs/>
                <w:sz w:val="16"/>
                <w:szCs w:val="16"/>
              </w:rPr>
            </w:pPr>
            <w:r w:rsidRPr="61913025">
              <w:rPr>
                <w:rFonts w:eastAsia="Arial"/>
                <w:b/>
                <w:bCs/>
                <w:sz w:val="16"/>
                <w:szCs w:val="16"/>
              </w:rPr>
              <w:t xml:space="preserve">2.6 </w:t>
            </w:r>
            <w:r w:rsidRPr="5660C760">
              <w:rPr>
                <w:rFonts w:eastAsia="Arial"/>
                <w:b/>
                <w:bCs/>
                <w:sz w:val="16"/>
                <w:szCs w:val="16"/>
              </w:rPr>
              <w:t>Biomass growth functions</w:t>
            </w:r>
            <w:r w:rsidRPr="10CE129D">
              <w:rPr>
                <w:rFonts w:eastAsia="Arial"/>
                <w:b/>
                <w:bCs/>
                <w:sz w:val="16"/>
                <w:szCs w:val="16"/>
              </w:rPr>
              <w:t xml:space="preserve">, Para </w:t>
            </w:r>
            <w:r w:rsidRPr="01FB511B">
              <w:rPr>
                <w:rFonts w:eastAsia="Arial"/>
                <w:b/>
                <w:bCs/>
                <w:sz w:val="16"/>
                <w:szCs w:val="16"/>
              </w:rPr>
              <w:t>33</w:t>
            </w:r>
          </w:p>
        </w:tc>
        <w:tc>
          <w:tcPr>
            <w:tcW w:w="922" w:type="dxa"/>
            <w:gridSpan w:val="2"/>
            <w:tcBorders>
              <w:top w:val="single" w:sz="6" w:space="0" w:color="auto"/>
              <w:left w:val="single" w:sz="6" w:space="0" w:color="auto"/>
              <w:bottom w:val="single" w:sz="6" w:space="0" w:color="auto"/>
              <w:right w:val="single" w:sz="6" w:space="0" w:color="auto"/>
            </w:tcBorders>
          </w:tcPr>
          <w:p w14:paraId="029B3921" w14:textId="35939EAB" w:rsidR="00013F5C" w:rsidRPr="186F6602" w:rsidRDefault="00013F5C" w:rsidP="00013F5C">
            <w:pPr>
              <w:spacing w:before="40" w:after="40"/>
              <w:jc w:val="left"/>
              <w:rPr>
                <w:rFonts w:eastAsia="Arial"/>
                <w:b/>
                <w:bCs/>
                <w:sz w:val="16"/>
                <w:szCs w:val="16"/>
              </w:rPr>
            </w:pPr>
            <w:r w:rsidRPr="5660C760">
              <w:rPr>
                <w:rFonts w:eastAsia="Arial"/>
                <w:b/>
                <w:bCs/>
                <w:sz w:val="16"/>
                <w:szCs w:val="16"/>
              </w:rPr>
              <w:t>33</w:t>
            </w:r>
            <w:r w:rsidRPr="186F6602">
              <w:rPr>
                <w:rFonts w:eastAsia="Arial"/>
                <w:b/>
                <w:bCs/>
                <w:sz w:val="16"/>
                <w:szCs w:val="16"/>
              </w:rPr>
              <w:t xml:space="preserve"> </w:t>
            </w:r>
          </w:p>
        </w:tc>
        <w:tc>
          <w:tcPr>
            <w:tcW w:w="980" w:type="dxa"/>
            <w:tcBorders>
              <w:top w:val="single" w:sz="6" w:space="0" w:color="auto"/>
              <w:left w:val="single" w:sz="6" w:space="0" w:color="auto"/>
              <w:bottom w:val="single" w:sz="6" w:space="0" w:color="auto"/>
              <w:right w:val="single" w:sz="6" w:space="0" w:color="auto"/>
            </w:tcBorders>
          </w:tcPr>
          <w:p w14:paraId="17EB5C91" w14:textId="7B3AD88A"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C6D4B1E" w14:textId="2B1A9122" w:rsidR="00013F5C" w:rsidRPr="00941A70" w:rsidRDefault="00013F5C" w:rsidP="00013F5C">
            <w:pPr>
              <w:jc w:val="left"/>
              <w:rPr>
                <w:rFonts w:eastAsia="Arial"/>
                <w:b/>
                <w:bCs/>
                <w:sz w:val="16"/>
                <w:szCs w:val="16"/>
              </w:rPr>
            </w:pPr>
            <w:r w:rsidRPr="00941A70">
              <w:rPr>
                <w:rFonts w:eastAsia="Arial"/>
                <w:b/>
                <w:bCs/>
                <w:sz w:val="16"/>
                <w:szCs w:val="16"/>
              </w:rPr>
              <w:t>Biomass Growth Functions</w:t>
            </w:r>
          </w:p>
          <w:p w14:paraId="3AB0B78A" w14:textId="77777777" w:rsidR="00013F5C" w:rsidRPr="00941A70" w:rsidRDefault="00013F5C" w:rsidP="00013F5C">
            <w:pPr>
              <w:jc w:val="left"/>
              <w:rPr>
                <w:rFonts w:eastAsia="Arial"/>
                <w:sz w:val="16"/>
                <w:szCs w:val="16"/>
              </w:rPr>
            </w:pPr>
          </w:p>
          <w:p w14:paraId="1B921ED8" w14:textId="0C2FB0AF" w:rsidR="00013F5C" w:rsidRPr="00941A70" w:rsidRDefault="00013F5C" w:rsidP="00013F5C">
            <w:pPr>
              <w:jc w:val="left"/>
              <w:rPr>
                <w:rFonts w:eastAsia="Arial"/>
                <w:sz w:val="16"/>
                <w:szCs w:val="16"/>
              </w:rPr>
            </w:pPr>
            <w:r w:rsidRPr="00941A70">
              <w:rPr>
                <w:rFonts w:eastAsia="Arial"/>
                <w:sz w:val="16"/>
                <w:szCs w:val="16"/>
              </w:rPr>
              <w:t xml:space="preserve">It is stated that </w:t>
            </w:r>
            <w:proofErr w:type="spellStart"/>
            <w:r w:rsidR="00847B1A">
              <w:rPr>
                <w:rFonts w:eastAsia="Arial"/>
                <w:sz w:val="16"/>
                <w:szCs w:val="16"/>
              </w:rPr>
              <w:t>MoFuSS</w:t>
            </w:r>
            <w:proofErr w:type="spellEnd"/>
            <w:r w:rsidRPr="00941A70">
              <w:rPr>
                <w:rFonts w:eastAsia="Arial"/>
                <w:sz w:val="16"/>
                <w:szCs w:val="16"/>
              </w:rPr>
              <w:t xml:space="preserve"> can simulate future tree cover loss that might be caused by drivers unrelated to </w:t>
            </w:r>
            <w:proofErr w:type="spellStart"/>
            <w:r w:rsidRPr="00941A70">
              <w:rPr>
                <w:rFonts w:eastAsia="Arial"/>
                <w:sz w:val="16"/>
                <w:szCs w:val="16"/>
              </w:rPr>
              <w:t>woodfuel</w:t>
            </w:r>
            <w:proofErr w:type="spellEnd"/>
            <w:r w:rsidRPr="00941A70">
              <w:rPr>
                <w:rFonts w:eastAsia="Arial"/>
                <w:sz w:val="16"/>
                <w:szCs w:val="16"/>
              </w:rPr>
              <w:t xml:space="preserve"> demand, such as agricultural expansion, but we do not predict future degradation. It is further mentioned that in areas that are not affected by future tree loss, the simulation allows trees to grow to their full potential unless they are affected by </w:t>
            </w:r>
            <w:proofErr w:type="spellStart"/>
            <w:r w:rsidRPr="00941A70">
              <w:rPr>
                <w:rFonts w:eastAsia="Arial"/>
                <w:sz w:val="16"/>
                <w:szCs w:val="16"/>
              </w:rPr>
              <w:t>woodfuel</w:t>
            </w:r>
            <w:proofErr w:type="spellEnd"/>
            <w:r w:rsidRPr="00941A70">
              <w:rPr>
                <w:rFonts w:eastAsia="Arial"/>
                <w:sz w:val="16"/>
                <w:szCs w:val="16"/>
              </w:rPr>
              <w:t xml:space="preserve"> harvesting.</w:t>
            </w:r>
          </w:p>
          <w:p w14:paraId="4FB60FEC" w14:textId="77777777" w:rsidR="00013F5C" w:rsidRPr="00941A70" w:rsidRDefault="00013F5C" w:rsidP="00013F5C">
            <w:pPr>
              <w:jc w:val="left"/>
              <w:rPr>
                <w:rFonts w:eastAsia="Arial"/>
                <w:sz w:val="16"/>
                <w:szCs w:val="16"/>
              </w:rPr>
            </w:pPr>
          </w:p>
          <w:p w14:paraId="168DA734" w14:textId="79BE0CD7" w:rsidR="00013F5C" w:rsidRPr="00941A70" w:rsidRDefault="00013F5C" w:rsidP="00013F5C">
            <w:pPr>
              <w:jc w:val="left"/>
              <w:rPr>
                <w:rFonts w:eastAsia="Arial"/>
                <w:sz w:val="16"/>
                <w:szCs w:val="16"/>
              </w:rPr>
            </w:pPr>
            <w:r w:rsidRPr="00941A70">
              <w:rPr>
                <w:rFonts w:eastAsia="Arial"/>
                <w:sz w:val="16"/>
                <w:szCs w:val="16"/>
              </w:rPr>
              <w:t>We believe that the model does not adequately predict future degradation as it does not capture the acceleration of forest loss due to extreme weather events and agricultural pressure of smallholder farmers. Evidence suggests that these drivers will become more important with climate change leading to more frequent loss of fertile agricultural land, thereby increasing the pressure on rural farmers to clear further forest spaces for agriculture.</w:t>
            </w:r>
          </w:p>
          <w:p w14:paraId="3B4AD549" w14:textId="77777777" w:rsidR="00013F5C" w:rsidRPr="00941A70" w:rsidRDefault="00013F5C" w:rsidP="00013F5C">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0E51B40" w14:textId="535440E5" w:rsidR="00013F5C" w:rsidRPr="00941A70" w:rsidRDefault="00013F5C" w:rsidP="00013F5C">
            <w:pPr>
              <w:spacing w:before="40" w:after="40"/>
              <w:jc w:val="left"/>
              <w:rPr>
                <w:rFonts w:eastAsia="Arial"/>
                <w:sz w:val="16"/>
                <w:szCs w:val="16"/>
              </w:rPr>
            </w:pPr>
            <w:r w:rsidRPr="00941A70">
              <w:rPr>
                <w:rFonts w:eastAsia="Arial"/>
                <w:sz w:val="16"/>
                <w:szCs w:val="16"/>
              </w:rPr>
              <w:t xml:space="preserve">We recommend these aspects be reviewed and a clarification is provided on whether the model considers the impact of agriculture not only as a primary driver of deforestation (conversion of forest lands) but also as an activity that is likely to be implemented on lands that were previously deforested and as such would prevent regeneration on such lands by occupying them, thus impacting the amount of natural generation in </w:t>
            </w:r>
            <w:proofErr w:type="spellStart"/>
            <w:r w:rsidRPr="00941A70">
              <w:rPr>
                <w:rFonts w:eastAsia="Arial"/>
                <w:sz w:val="16"/>
                <w:szCs w:val="16"/>
              </w:rPr>
              <w:t>fNRB</w:t>
            </w:r>
            <w:proofErr w:type="spellEnd"/>
            <w:r w:rsidRPr="00941A70">
              <w:rPr>
                <w:rFonts w:eastAsia="Arial"/>
                <w:sz w:val="16"/>
                <w:szCs w:val="16"/>
              </w:rPr>
              <w:t xml:space="preserve"> calculations.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05335E6" w14:textId="77777777" w:rsidR="00013F5C" w:rsidRDefault="00013F5C" w:rsidP="00013F5C">
            <w:pPr>
              <w:spacing w:line="190" w:lineRule="exact"/>
              <w:jc w:val="left"/>
              <w:rPr>
                <w:b/>
                <w:bCs/>
                <w:sz w:val="16"/>
                <w:szCs w:val="16"/>
              </w:rPr>
            </w:pPr>
          </w:p>
        </w:tc>
      </w:tr>
      <w:tr w:rsidR="00013F5C" w14:paraId="538E7EDC"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D40AFC8" w14:textId="58481D1F" w:rsidR="00013F5C" w:rsidRDefault="002C1B9B" w:rsidP="00013F5C">
            <w:pPr>
              <w:spacing w:line="190" w:lineRule="exact"/>
              <w:jc w:val="left"/>
              <w:rPr>
                <w:b/>
                <w:bCs/>
                <w:sz w:val="16"/>
                <w:szCs w:val="16"/>
              </w:rPr>
            </w:pPr>
            <w:r>
              <w:rPr>
                <w:b/>
                <w:bCs/>
                <w:sz w:val="16"/>
                <w:szCs w:val="16"/>
              </w:rPr>
              <w:t>19</w:t>
            </w:r>
          </w:p>
        </w:tc>
        <w:tc>
          <w:tcPr>
            <w:tcW w:w="1425" w:type="dxa"/>
            <w:tcBorders>
              <w:top w:val="single" w:sz="6" w:space="0" w:color="auto"/>
              <w:left w:val="single" w:sz="6" w:space="0" w:color="auto"/>
              <w:bottom w:val="single" w:sz="6" w:space="0" w:color="auto"/>
              <w:right w:val="single" w:sz="6" w:space="0" w:color="auto"/>
            </w:tcBorders>
          </w:tcPr>
          <w:p w14:paraId="2F6CACB6" w14:textId="66380989" w:rsidR="00013F5C" w:rsidRDefault="00013F5C" w:rsidP="00013F5C">
            <w:pPr>
              <w:spacing w:line="259" w:lineRule="auto"/>
              <w:jc w:val="left"/>
              <w:rPr>
                <w:rFonts w:eastAsia="Arial"/>
                <w:b/>
                <w:bCs/>
                <w:sz w:val="16"/>
                <w:szCs w:val="16"/>
              </w:rPr>
            </w:pPr>
            <w:r w:rsidRPr="7FA2EAEF">
              <w:rPr>
                <w:rFonts w:eastAsia="Arial"/>
                <w:b/>
                <w:bCs/>
                <w:sz w:val="16"/>
                <w:szCs w:val="16"/>
              </w:rPr>
              <w:t>2.6 Biomass growth functions, Para 33</w:t>
            </w:r>
          </w:p>
        </w:tc>
        <w:tc>
          <w:tcPr>
            <w:tcW w:w="922" w:type="dxa"/>
            <w:gridSpan w:val="2"/>
            <w:tcBorders>
              <w:top w:val="single" w:sz="6" w:space="0" w:color="auto"/>
              <w:left w:val="single" w:sz="6" w:space="0" w:color="auto"/>
              <w:bottom w:val="single" w:sz="6" w:space="0" w:color="auto"/>
              <w:right w:val="single" w:sz="6" w:space="0" w:color="auto"/>
            </w:tcBorders>
          </w:tcPr>
          <w:p w14:paraId="0F0C3628" w14:textId="2CF1DE87" w:rsidR="00013F5C" w:rsidRDefault="00013F5C" w:rsidP="00013F5C">
            <w:pPr>
              <w:jc w:val="left"/>
              <w:rPr>
                <w:rFonts w:eastAsia="Arial"/>
                <w:b/>
                <w:bCs/>
                <w:sz w:val="16"/>
                <w:szCs w:val="16"/>
              </w:rPr>
            </w:pPr>
            <w:r w:rsidRPr="7FA2EAEF">
              <w:rPr>
                <w:rFonts w:eastAsia="Arial"/>
                <w:b/>
                <w:bCs/>
                <w:sz w:val="16"/>
                <w:szCs w:val="16"/>
              </w:rPr>
              <w:t>33</w:t>
            </w:r>
          </w:p>
        </w:tc>
        <w:tc>
          <w:tcPr>
            <w:tcW w:w="980" w:type="dxa"/>
            <w:tcBorders>
              <w:top w:val="single" w:sz="6" w:space="0" w:color="auto"/>
              <w:left w:val="single" w:sz="6" w:space="0" w:color="auto"/>
              <w:bottom w:val="single" w:sz="6" w:space="0" w:color="auto"/>
              <w:right w:val="single" w:sz="6" w:space="0" w:color="auto"/>
            </w:tcBorders>
          </w:tcPr>
          <w:p w14:paraId="044A7D0D" w14:textId="03C963FC" w:rsidR="00013F5C" w:rsidRDefault="00013F5C" w:rsidP="00013F5C">
            <w:pPr>
              <w:jc w:val="left"/>
              <w:rPr>
                <w:rFonts w:eastAsia="Arial"/>
                <w:b/>
                <w:bCs/>
                <w:sz w:val="16"/>
                <w:szCs w:val="16"/>
              </w:rPr>
            </w:pPr>
            <w:proofErr w:type="spellStart"/>
            <w:r w:rsidRPr="7FA2EAEF">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6579493" w14:textId="006F5D4E" w:rsidR="00013F5C" w:rsidRDefault="00013F5C" w:rsidP="00013F5C">
            <w:pPr>
              <w:jc w:val="left"/>
              <w:rPr>
                <w:rFonts w:eastAsia="Arial"/>
                <w:b/>
                <w:bCs/>
                <w:sz w:val="16"/>
                <w:szCs w:val="16"/>
              </w:rPr>
            </w:pPr>
            <w:r w:rsidRPr="7FA2EAEF">
              <w:rPr>
                <w:rFonts w:eastAsia="Arial"/>
                <w:b/>
                <w:bCs/>
                <w:sz w:val="16"/>
                <w:szCs w:val="16"/>
              </w:rPr>
              <w:t>Biomass growth</w:t>
            </w:r>
          </w:p>
          <w:p w14:paraId="11EB0EC1" w14:textId="6D10DFF9" w:rsidR="00013F5C" w:rsidRDefault="00013F5C" w:rsidP="00013F5C">
            <w:pPr>
              <w:jc w:val="left"/>
              <w:rPr>
                <w:rFonts w:eastAsia="Arial"/>
                <w:b/>
                <w:bCs/>
                <w:sz w:val="16"/>
                <w:szCs w:val="16"/>
              </w:rPr>
            </w:pPr>
          </w:p>
          <w:p w14:paraId="6F400BB0" w14:textId="581DB23C" w:rsidR="00013F5C" w:rsidRDefault="00013F5C" w:rsidP="00013F5C">
            <w:pPr>
              <w:jc w:val="left"/>
              <w:rPr>
                <w:rFonts w:eastAsia="Arial"/>
                <w:sz w:val="16"/>
                <w:szCs w:val="16"/>
              </w:rPr>
            </w:pPr>
            <w:r w:rsidRPr="7FA2EAEF">
              <w:rPr>
                <w:rFonts w:eastAsia="Arial"/>
                <w:sz w:val="16"/>
                <w:szCs w:val="16"/>
              </w:rPr>
              <w:t xml:space="preserve">It is states that the "simulation allows trees to grow to their full potential unless affected by </w:t>
            </w:r>
            <w:proofErr w:type="spellStart"/>
            <w:r w:rsidRPr="7FA2EAEF">
              <w:rPr>
                <w:rFonts w:eastAsia="Arial"/>
                <w:sz w:val="16"/>
                <w:szCs w:val="16"/>
              </w:rPr>
              <w:t>woodfuel</w:t>
            </w:r>
            <w:proofErr w:type="spellEnd"/>
            <w:r w:rsidRPr="7FA2EAEF">
              <w:rPr>
                <w:rFonts w:eastAsia="Arial"/>
                <w:sz w:val="16"/>
                <w:szCs w:val="16"/>
              </w:rPr>
              <w:t xml:space="preserve"> harvesting." This does not account adequately for other drivers of deforestation, which speaks to the importance of accounting for other drivers of demand in the </w:t>
            </w:r>
            <w:proofErr w:type="spellStart"/>
            <w:r w:rsidR="00847B1A">
              <w:rPr>
                <w:rFonts w:eastAsia="Arial"/>
                <w:sz w:val="16"/>
                <w:szCs w:val="16"/>
              </w:rPr>
              <w:t>MoFuSS</w:t>
            </w:r>
            <w:proofErr w:type="spellEnd"/>
            <w:r w:rsidRPr="7FA2EAEF">
              <w:rPr>
                <w:rFonts w:eastAsia="Arial"/>
                <w:sz w:val="16"/>
                <w:szCs w:val="16"/>
              </w:rPr>
              <w:t xml:space="preserve"> calculations.</w:t>
            </w:r>
          </w:p>
        </w:tc>
        <w:tc>
          <w:tcPr>
            <w:tcW w:w="4253" w:type="dxa"/>
            <w:tcBorders>
              <w:top w:val="single" w:sz="6" w:space="0" w:color="auto"/>
              <w:left w:val="single" w:sz="6" w:space="0" w:color="auto"/>
              <w:bottom w:val="single" w:sz="6" w:space="0" w:color="auto"/>
              <w:right w:val="single" w:sz="6" w:space="0" w:color="auto"/>
            </w:tcBorders>
          </w:tcPr>
          <w:p w14:paraId="5763E989" w14:textId="1C317F70" w:rsidR="00013F5C" w:rsidRDefault="00013F5C" w:rsidP="00013F5C">
            <w:pPr>
              <w:jc w:val="left"/>
              <w:rPr>
                <w:rFonts w:eastAsia="Arial"/>
                <w:sz w:val="16"/>
                <w:szCs w:val="16"/>
              </w:rPr>
            </w:pPr>
            <w:r w:rsidRPr="7FA2EAEF">
              <w:rPr>
                <w:rFonts w:eastAsia="Arial"/>
                <w:sz w:val="16"/>
                <w:szCs w:val="16"/>
              </w:rPr>
              <w:t xml:space="preserve">Require that </w:t>
            </w:r>
            <w:proofErr w:type="spellStart"/>
            <w:r w:rsidR="00847B1A">
              <w:rPr>
                <w:rFonts w:eastAsia="Arial"/>
                <w:sz w:val="16"/>
                <w:szCs w:val="16"/>
              </w:rPr>
              <w:t>MoFuSS</w:t>
            </w:r>
            <w:proofErr w:type="spellEnd"/>
            <w:r w:rsidRPr="7FA2EAEF">
              <w:rPr>
                <w:rFonts w:eastAsia="Arial"/>
                <w:sz w:val="16"/>
                <w:szCs w:val="16"/>
              </w:rPr>
              <w:t xml:space="preserve"> include in its calculations a realistic data set on drivers of demand unrelated to fuelwood harvesting.</w:t>
            </w:r>
          </w:p>
          <w:p w14:paraId="0EE042C3" w14:textId="441755D7" w:rsidR="00013F5C" w:rsidRDefault="00013F5C" w:rsidP="00013F5C">
            <w:pPr>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B21F080" w14:textId="284778E5" w:rsidR="00013F5C" w:rsidRDefault="00013F5C" w:rsidP="00013F5C">
            <w:pPr>
              <w:spacing w:line="190" w:lineRule="exact"/>
              <w:jc w:val="left"/>
              <w:rPr>
                <w:b/>
                <w:bCs/>
                <w:sz w:val="16"/>
                <w:szCs w:val="16"/>
              </w:rPr>
            </w:pPr>
          </w:p>
        </w:tc>
      </w:tr>
      <w:tr w:rsidR="00013F5C" w14:paraId="08C12C01"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754DC92" w14:textId="3BAA5BD5" w:rsidR="00013F5C" w:rsidRDefault="002C1B9B" w:rsidP="00013F5C">
            <w:pPr>
              <w:spacing w:line="190" w:lineRule="exact"/>
              <w:jc w:val="left"/>
              <w:rPr>
                <w:b/>
                <w:bCs/>
                <w:sz w:val="16"/>
                <w:szCs w:val="16"/>
              </w:rPr>
            </w:pPr>
            <w:r>
              <w:rPr>
                <w:b/>
                <w:bCs/>
                <w:sz w:val="16"/>
                <w:szCs w:val="16"/>
              </w:rPr>
              <w:t>20</w:t>
            </w:r>
          </w:p>
        </w:tc>
        <w:tc>
          <w:tcPr>
            <w:tcW w:w="1425" w:type="dxa"/>
            <w:tcBorders>
              <w:top w:val="single" w:sz="6" w:space="0" w:color="auto"/>
              <w:left w:val="single" w:sz="6" w:space="0" w:color="auto"/>
              <w:bottom w:val="single" w:sz="6" w:space="0" w:color="auto"/>
              <w:right w:val="single" w:sz="6" w:space="0" w:color="auto"/>
            </w:tcBorders>
          </w:tcPr>
          <w:p w14:paraId="414CB1E8" w14:textId="02F155D0" w:rsidR="00013F5C" w:rsidRDefault="00013F5C" w:rsidP="00013F5C">
            <w:pPr>
              <w:spacing w:line="259" w:lineRule="auto"/>
              <w:jc w:val="left"/>
              <w:rPr>
                <w:rFonts w:eastAsia="Arial"/>
                <w:b/>
                <w:bCs/>
                <w:sz w:val="16"/>
                <w:szCs w:val="16"/>
              </w:rPr>
            </w:pPr>
            <w:r w:rsidRPr="7FA2EAEF">
              <w:rPr>
                <w:rFonts w:eastAsia="Arial"/>
                <w:b/>
                <w:bCs/>
                <w:sz w:val="16"/>
                <w:szCs w:val="16"/>
              </w:rPr>
              <w:t>2.6.1 SOC</w:t>
            </w:r>
          </w:p>
          <w:p w14:paraId="5D77CA3A" w14:textId="359E873D" w:rsidR="00013F5C" w:rsidRDefault="00013F5C" w:rsidP="00013F5C">
            <w:pPr>
              <w:spacing w:line="259" w:lineRule="auto"/>
              <w:jc w:val="left"/>
              <w:rPr>
                <w:rFonts w:eastAsia="Arial"/>
                <w:b/>
                <w:bCs/>
                <w:sz w:val="16"/>
                <w:szCs w:val="16"/>
              </w:rPr>
            </w:pPr>
            <w:r w:rsidRPr="7FA2EAEF">
              <w:rPr>
                <w:rFonts w:eastAsia="Arial"/>
                <w:b/>
                <w:bCs/>
                <w:sz w:val="16"/>
                <w:szCs w:val="16"/>
              </w:rPr>
              <w:t>, para 35</w:t>
            </w:r>
          </w:p>
        </w:tc>
        <w:tc>
          <w:tcPr>
            <w:tcW w:w="922" w:type="dxa"/>
            <w:gridSpan w:val="2"/>
            <w:tcBorders>
              <w:top w:val="single" w:sz="6" w:space="0" w:color="auto"/>
              <w:left w:val="single" w:sz="6" w:space="0" w:color="auto"/>
              <w:bottom w:val="single" w:sz="6" w:space="0" w:color="auto"/>
              <w:right w:val="single" w:sz="6" w:space="0" w:color="auto"/>
            </w:tcBorders>
          </w:tcPr>
          <w:p w14:paraId="35721206" w14:textId="35B59DAC" w:rsidR="00013F5C" w:rsidRDefault="00013F5C" w:rsidP="00013F5C">
            <w:pPr>
              <w:jc w:val="left"/>
              <w:rPr>
                <w:rFonts w:eastAsia="Arial"/>
                <w:b/>
                <w:bCs/>
                <w:sz w:val="16"/>
                <w:szCs w:val="16"/>
              </w:rPr>
            </w:pPr>
            <w:r w:rsidRPr="7FA2EAEF">
              <w:rPr>
                <w:rFonts w:eastAsia="Arial"/>
                <w:b/>
                <w:bCs/>
                <w:sz w:val="16"/>
                <w:szCs w:val="16"/>
              </w:rPr>
              <w:t>35</w:t>
            </w:r>
          </w:p>
        </w:tc>
        <w:tc>
          <w:tcPr>
            <w:tcW w:w="980" w:type="dxa"/>
            <w:tcBorders>
              <w:top w:val="single" w:sz="6" w:space="0" w:color="auto"/>
              <w:left w:val="single" w:sz="6" w:space="0" w:color="auto"/>
              <w:bottom w:val="single" w:sz="6" w:space="0" w:color="auto"/>
              <w:right w:val="single" w:sz="6" w:space="0" w:color="auto"/>
            </w:tcBorders>
          </w:tcPr>
          <w:p w14:paraId="2DBE315B" w14:textId="10ABA337" w:rsidR="00013F5C" w:rsidRDefault="00013F5C" w:rsidP="00013F5C">
            <w:pPr>
              <w:jc w:val="left"/>
              <w:rPr>
                <w:rFonts w:eastAsia="Arial"/>
                <w:b/>
                <w:bCs/>
                <w:sz w:val="16"/>
                <w:szCs w:val="16"/>
              </w:rPr>
            </w:pPr>
            <w:proofErr w:type="spellStart"/>
            <w:r w:rsidRPr="7FA2EAEF">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628F266" w14:textId="7C214B35" w:rsidR="00013F5C" w:rsidRDefault="00013F5C" w:rsidP="00013F5C">
            <w:pPr>
              <w:jc w:val="left"/>
              <w:rPr>
                <w:rFonts w:eastAsia="Arial"/>
                <w:b/>
                <w:bCs/>
                <w:sz w:val="16"/>
                <w:szCs w:val="16"/>
              </w:rPr>
            </w:pPr>
            <w:r w:rsidRPr="7FA2EAEF">
              <w:rPr>
                <w:rFonts w:eastAsia="Arial"/>
                <w:b/>
                <w:bCs/>
                <w:sz w:val="16"/>
                <w:szCs w:val="16"/>
              </w:rPr>
              <w:t>SOC</w:t>
            </w:r>
          </w:p>
          <w:p w14:paraId="105BF504" w14:textId="4BD06B9C" w:rsidR="00013F5C" w:rsidRDefault="00013F5C" w:rsidP="00013F5C">
            <w:pPr>
              <w:jc w:val="left"/>
              <w:rPr>
                <w:rFonts w:eastAsia="Arial"/>
                <w:b/>
                <w:bCs/>
                <w:sz w:val="16"/>
                <w:szCs w:val="16"/>
              </w:rPr>
            </w:pPr>
          </w:p>
          <w:p w14:paraId="74300DA3" w14:textId="78A58BA8" w:rsidR="00013F5C" w:rsidRDefault="00013F5C" w:rsidP="00013F5C">
            <w:pPr>
              <w:jc w:val="left"/>
              <w:rPr>
                <w:rFonts w:eastAsia="Arial"/>
                <w:sz w:val="16"/>
                <w:szCs w:val="16"/>
              </w:rPr>
            </w:pPr>
            <w:r w:rsidRPr="7FA2EAEF">
              <w:rPr>
                <w:rFonts w:eastAsia="Arial"/>
                <w:sz w:val="16"/>
                <w:szCs w:val="16"/>
              </w:rPr>
              <w:t xml:space="preserve">The default values do not include the option to include dead wood due to land clearance. How significant is the impact of those values, if incorporated? </w:t>
            </w:r>
          </w:p>
        </w:tc>
        <w:tc>
          <w:tcPr>
            <w:tcW w:w="4253" w:type="dxa"/>
            <w:tcBorders>
              <w:top w:val="single" w:sz="6" w:space="0" w:color="auto"/>
              <w:left w:val="single" w:sz="6" w:space="0" w:color="auto"/>
              <w:bottom w:val="single" w:sz="6" w:space="0" w:color="auto"/>
              <w:right w:val="single" w:sz="6" w:space="0" w:color="auto"/>
            </w:tcBorders>
          </w:tcPr>
          <w:p w14:paraId="2BA48B2E" w14:textId="76AC7090" w:rsidR="00013F5C" w:rsidRDefault="00013F5C" w:rsidP="00013F5C">
            <w:pPr>
              <w:jc w:val="left"/>
              <w:rPr>
                <w:rFonts w:eastAsia="Arial"/>
                <w:sz w:val="16"/>
                <w:szCs w:val="16"/>
              </w:rPr>
            </w:pPr>
            <w:r w:rsidRPr="7FA2EAEF">
              <w:rPr>
                <w:rFonts w:eastAsia="Arial"/>
                <w:sz w:val="16"/>
                <w:szCs w:val="16"/>
              </w:rPr>
              <w:t xml:space="preserve">Assess sensitivity and consider whether dead wood for land clearance should be accounted for as a default adjustment to </w:t>
            </w:r>
            <w:proofErr w:type="spellStart"/>
            <w:r w:rsidRPr="7FA2EAEF">
              <w:rPr>
                <w:rFonts w:eastAsia="Arial"/>
                <w:sz w:val="16"/>
                <w:szCs w:val="16"/>
              </w:rPr>
              <w:t>fNRB</w:t>
            </w:r>
            <w:proofErr w:type="spellEnd"/>
            <w:r w:rsidRPr="7FA2EAEF">
              <w:rPr>
                <w:rFonts w:eastAsia="Arial"/>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FE0B985" w14:textId="421E5851" w:rsidR="00013F5C" w:rsidRDefault="00013F5C" w:rsidP="00013F5C">
            <w:pPr>
              <w:spacing w:line="190" w:lineRule="exact"/>
              <w:jc w:val="left"/>
              <w:rPr>
                <w:b/>
                <w:bCs/>
                <w:sz w:val="16"/>
                <w:szCs w:val="16"/>
              </w:rPr>
            </w:pPr>
          </w:p>
        </w:tc>
      </w:tr>
      <w:tr w:rsidR="00013F5C" w14:paraId="6AA438BE"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09ACEF6" w14:textId="21E92121" w:rsidR="00013F5C" w:rsidRDefault="00013F5C" w:rsidP="00013F5C">
            <w:pPr>
              <w:spacing w:line="190" w:lineRule="exact"/>
              <w:jc w:val="left"/>
              <w:rPr>
                <w:b/>
                <w:bCs/>
                <w:sz w:val="16"/>
                <w:szCs w:val="16"/>
              </w:rPr>
            </w:pPr>
            <w:r w:rsidRPr="7FA2EAEF">
              <w:rPr>
                <w:b/>
                <w:bCs/>
                <w:sz w:val="16"/>
                <w:szCs w:val="16"/>
              </w:rPr>
              <w:lastRenderedPageBreak/>
              <w:t>2</w:t>
            </w:r>
            <w:r w:rsidR="002C1B9B">
              <w:rPr>
                <w:b/>
                <w:bCs/>
                <w:sz w:val="16"/>
                <w:szCs w:val="16"/>
              </w:rPr>
              <w:t>1</w:t>
            </w:r>
          </w:p>
        </w:tc>
        <w:tc>
          <w:tcPr>
            <w:tcW w:w="1425" w:type="dxa"/>
            <w:tcBorders>
              <w:top w:val="single" w:sz="6" w:space="0" w:color="auto"/>
              <w:left w:val="single" w:sz="6" w:space="0" w:color="auto"/>
              <w:bottom w:val="single" w:sz="6" w:space="0" w:color="auto"/>
              <w:right w:val="single" w:sz="6" w:space="0" w:color="auto"/>
            </w:tcBorders>
          </w:tcPr>
          <w:p w14:paraId="6E2B36D3" w14:textId="0652331B" w:rsidR="00013F5C" w:rsidRDefault="00013F5C" w:rsidP="00013F5C">
            <w:pPr>
              <w:spacing w:before="40" w:after="40" w:line="259" w:lineRule="auto"/>
              <w:jc w:val="left"/>
              <w:rPr>
                <w:rFonts w:eastAsia="Arial"/>
                <w:b/>
                <w:bCs/>
                <w:sz w:val="16"/>
                <w:szCs w:val="16"/>
              </w:rPr>
            </w:pPr>
            <w:r w:rsidRPr="6973C54A">
              <w:rPr>
                <w:rFonts w:eastAsia="Arial"/>
                <w:b/>
                <w:bCs/>
                <w:sz w:val="16"/>
                <w:szCs w:val="16"/>
              </w:rPr>
              <w:t xml:space="preserve">2.8 Residential, commercial, and industrial </w:t>
            </w:r>
            <w:proofErr w:type="spellStart"/>
            <w:r w:rsidRPr="6973C54A">
              <w:rPr>
                <w:rFonts w:eastAsia="Arial"/>
                <w:b/>
                <w:bCs/>
                <w:sz w:val="16"/>
                <w:szCs w:val="16"/>
              </w:rPr>
              <w:t>woodfuel</w:t>
            </w:r>
            <w:proofErr w:type="spellEnd"/>
            <w:r w:rsidRPr="6973C54A">
              <w:rPr>
                <w:rFonts w:eastAsia="Arial"/>
                <w:b/>
                <w:bCs/>
                <w:sz w:val="16"/>
                <w:szCs w:val="16"/>
              </w:rPr>
              <w:t xml:space="preserve"> consumption,</w:t>
            </w:r>
            <w:r w:rsidRPr="5B870E3D">
              <w:rPr>
                <w:rFonts w:eastAsia="Arial"/>
                <w:b/>
                <w:bCs/>
                <w:sz w:val="16"/>
                <w:szCs w:val="16"/>
              </w:rPr>
              <w:t xml:space="preserve"> </w:t>
            </w:r>
            <w:r w:rsidRPr="6973C54A">
              <w:rPr>
                <w:rFonts w:eastAsia="Arial"/>
                <w:b/>
                <w:bCs/>
                <w:sz w:val="16"/>
                <w:szCs w:val="16"/>
              </w:rPr>
              <w:t xml:space="preserve">Para </w:t>
            </w:r>
            <w:r w:rsidRPr="784F1EE0">
              <w:rPr>
                <w:rFonts w:eastAsia="Arial"/>
                <w:b/>
                <w:bCs/>
                <w:sz w:val="16"/>
                <w:szCs w:val="16"/>
              </w:rPr>
              <w:t>39</w:t>
            </w:r>
          </w:p>
          <w:p w14:paraId="40C8158E" w14:textId="798DE076" w:rsidR="00013F5C" w:rsidRDefault="00013F5C" w:rsidP="00013F5C">
            <w:pPr>
              <w:spacing w:before="40" w:after="40"/>
              <w:jc w:val="left"/>
              <w:rPr>
                <w:rFonts w:eastAsia="Arial"/>
                <w:b/>
                <w:bCs/>
                <w:sz w:val="16"/>
                <w:szCs w:val="16"/>
              </w:rPr>
            </w:pPr>
          </w:p>
        </w:tc>
        <w:tc>
          <w:tcPr>
            <w:tcW w:w="922" w:type="dxa"/>
            <w:gridSpan w:val="2"/>
            <w:tcBorders>
              <w:top w:val="single" w:sz="6" w:space="0" w:color="auto"/>
              <w:left w:val="single" w:sz="6" w:space="0" w:color="auto"/>
              <w:bottom w:val="single" w:sz="6" w:space="0" w:color="auto"/>
              <w:right w:val="single" w:sz="6" w:space="0" w:color="auto"/>
            </w:tcBorders>
          </w:tcPr>
          <w:p w14:paraId="68580F0A" w14:textId="7644E816" w:rsidR="00013F5C" w:rsidRDefault="00013F5C" w:rsidP="00013F5C">
            <w:pPr>
              <w:spacing w:before="40" w:after="40"/>
              <w:jc w:val="left"/>
              <w:rPr>
                <w:rFonts w:eastAsia="Arial"/>
                <w:b/>
                <w:bCs/>
                <w:sz w:val="16"/>
                <w:szCs w:val="16"/>
              </w:rPr>
            </w:pPr>
            <w:r w:rsidRPr="186F6602">
              <w:rPr>
                <w:rFonts w:eastAsia="Arial"/>
                <w:b/>
                <w:bCs/>
                <w:sz w:val="16"/>
                <w:szCs w:val="16"/>
              </w:rPr>
              <w:t>39</w:t>
            </w:r>
          </w:p>
        </w:tc>
        <w:tc>
          <w:tcPr>
            <w:tcW w:w="980" w:type="dxa"/>
            <w:tcBorders>
              <w:top w:val="single" w:sz="6" w:space="0" w:color="auto"/>
              <w:left w:val="single" w:sz="6" w:space="0" w:color="auto"/>
              <w:bottom w:val="single" w:sz="6" w:space="0" w:color="auto"/>
              <w:right w:val="single" w:sz="6" w:space="0" w:color="auto"/>
            </w:tcBorders>
          </w:tcPr>
          <w:p w14:paraId="5C467DCE" w14:textId="641F0C09" w:rsidR="00013F5C"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61108BE" w14:textId="7F389D98" w:rsidR="00013F5C" w:rsidRPr="00941A70" w:rsidRDefault="00013F5C" w:rsidP="00013F5C">
            <w:pPr>
              <w:spacing w:before="40" w:after="40"/>
              <w:jc w:val="left"/>
              <w:rPr>
                <w:rFonts w:eastAsia="Arial"/>
                <w:b/>
                <w:bCs/>
                <w:sz w:val="16"/>
                <w:szCs w:val="16"/>
              </w:rPr>
            </w:pPr>
            <w:r w:rsidRPr="00941A70">
              <w:rPr>
                <w:rFonts w:eastAsia="Arial"/>
                <w:b/>
                <w:bCs/>
                <w:sz w:val="16"/>
                <w:szCs w:val="16"/>
              </w:rPr>
              <w:t>Non-Residential Biomass Consumption</w:t>
            </w:r>
          </w:p>
          <w:p w14:paraId="4DE685FD" w14:textId="45DC0864" w:rsidR="00013F5C" w:rsidRPr="00941A70" w:rsidRDefault="00013F5C" w:rsidP="00013F5C">
            <w:pPr>
              <w:spacing w:before="40" w:after="40"/>
              <w:jc w:val="left"/>
              <w:rPr>
                <w:rFonts w:eastAsia="Arial"/>
                <w:sz w:val="16"/>
                <w:szCs w:val="16"/>
              </w:rPr>
            </w:pPr>
            <w:r w:rsidRPr="00941A70">
              <w:rPr>
                <w:rFonts w:eastAsia="Arial"/>
                <w:sz w:val="16"/>
                <w:szCs w:val="16"/>
              </w:rPr>
              <w:t xml:space="preserve">The </w:t>
            </w:r>
            <w:proofErr w:type="spellStart"/>
            <w:r w:rsidR="00847B1A">
              <w:rPr>
                <w:rFonts w:eastAsia="Arial"/>
                <w:sz w:val="16"/>
                <w:szCs w:val="16"/>
              </w:rPr>
              <w:t>MoFuSS</w:t>
            </w:r>
            <w:proofErr w:type="spellEnd"/>
            <w:r w:rsidRPr="00941A70">
              <w:rPr>
                <w:rFonts w:eastAsia="Arial"/>
                <w:sz w:val="16"/>
                <w:szCs w:val="16"/>
              </w:rPr>
              <w:t xml:space="preserve"> tool uses example studies in Kenya, Rwanda, Ethiopia and Uganda to extrapolate non-residential fuel consumption across the entire sub-continent. Each country should have its own figure for this rather than a default multiplier of 1.1 and 1.2. This will lead to more accurate inputs and resulting figures. </w:t>
            </w:r>
          </w:p>
          <w:p w14:paraId="73435CFA" w14:textId="470448F2" w:rsidR="00013F5C" w:rsidRPr="00941A70" w:rsidRDefault="00013F5C" w:rsidP="00013F5C">
            <w:pPr>
              <w:spacing w:before="40" w:after="40"/>
              <w:jc w:val="left"/>
              <w:rPr>
                <w:rFonts w:eastAsia="Arial"/>
                <w:sz w:val="16"/>
                <w:szCs w:val="16"/>
              </w:rPr>
            </w:pPr>
            <w:r w:rsidRPr="00941A70">
              <w:rPr>
                <w:rFonts w:eastAsia="Arial"/>
                <w:sz w:val="16"/>
                <w:szCs w:val="16"/>
              </w:rPr>
              <w:t>Proper local data inputs would provide an opportunity to locate non-residential fuel consumption – at present it is unclear how this is spread across countries.</w:t>
            </w:r>
          </w:p>
        </w:tc>
        <w:tc>
          <w:tcPr>
            <w:tcW w:w="4253" w:type="dxa"/>
            <w:tcBorders>
              <w:top w:val="single" w:sz="6" w:space="0" w:color="auto"/>
              <w:left w:val="single" w:sz="6" w:space="0" w:color="auto"/>
              <w:bottom w:val="single" w:sz="6" w:space="0" w:color="auto"/>
              <w:right w:val="single" w:sz="6" w:space="0" w:color="auto"/>
            </w:tcBorders>
          </w:tcPr>
          <w:p w14:paraId="4766B32C" w14:textId="477A4C67" w:rsidR="00013F5C" w:rsidRPr="00941A70" w:rsidRDefault="00013F5C" w:rsidP="00013F5C">
            <w:pPr>
              <w:spacing w:before="40" w:after="40"/>
              <w:jc w:val="left"/>
              <w:rPr>
                <w:rFonts w:eastAsia="Arial"/>
                <w:sz w:val="16"/>
                <w:szCs w:val="16"/>
              </w:rPr>
            </w:pPr>
            <w:r w:rsidRPr="00941A70">
              <w:rPr>
                <w:rFonts w:eastAsia="Arial"/>
                <w:sz w:val="16"/>
                <w:szCs w:val="16"/>
              </w:rPr>
              <w:t>The quantification of non-residential fuel consumption should be cross-checked with national studies by Host Country governments. It is impossible to get to accurate figures with such data being overlooked.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9406C5D" w14:textId="1F94DB82" w:rsidR="00013F5C" w:rsidRDefault="00013F5C" w:rsidP="00013F5C">
            <w:pPr>
              <w:spacing w:line="190" w:lineRule="exact"/>
              <w:jc w:val="left"/>
              <w:rPr>
                <w:b/>
                <w:bCs/>
                <w:sz w:val="16"/>
                <w:szCs w:val="16"/>
              </w:rPr>
            </w:pPr>
          </w:p>
        </w:tc>
      </w:tr>
      <w:tr w:rsidR="00013F5C" w14:paraId="47149742"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BD578A2" w14:textId="7094E58A" w:rsidR="00013F5C" w:rsidRPr="628A9BD2" w:rsidRDefault="00013F5C" w:rsidP="00013F5C">
            <w:pPr>
              <w:spacing w:line="190" w:lineRule="exact"/>
              <w:jc w:val="left"/>
              <w:rPr>
                <w:b/>
                <w:bCs/>
                <w:sz w:val="16"/>
                <w:szCs w:val="16"/>
              </w:rPr>
            </w:pPr>
            <w:r w:rsidRPr="7FA2EAEF">
              <w:rPr>
                <w:b/>
                <w:bCs/>
                <w:sz w:val="16"/>
                <w:szCs w:val="16"/>
              </w:rPr>
              <w:lastRenderedPageBreak/>
              <w:t>2</w:t>
            </w:r>
            <w:r w:rsidR="002C1B9B">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48C55BB7" w14:textId="510AAF6A" w:rsidR="00013F5C" w:rsidRDefault="00013F5C" w:rsidP="00013F5C">
            <w:pPr>
              <w:spacing w:before="40" w:after="40" w:line="259" w:lineRule="auto"/>
              <w:jc w:val="left"/>
              <w:rPr>
                <w:rFonts w:eastAsia="Arial"/>
                <w:b/>
                <w:bCs/>
                <w:sz w:val="16"/>
                <w:szCs w:val="16"/>
              </w:rPr>
            </w:pPr>
            <w:r w:rsidRPr="44E86778">
              <w:rPr>
                <w:rFonts w:eastAsia="Arial"/>
                <w:b/>
                <w:bCs/>
                <w:sz w:val="16"/>
                <w:szCs w:val="16"/>
              </w:rPr>
              <w:t xml:space="preserve">2.8 Residential, commercial, and industrial </w:t>
            </w:r>
            <w:proofErr w:type="spellStart"/>
            <w:r w:rsidRPr="44E86778">
              <w:rPr>
                <w:rFonts w:eastAsia="Arial"/>
                <w:b/>
                <w:bCs/>
                <w:sz w:val="16"/>
                <w:szCs w:val="16"/>
              </w:rPr>
              <w:t>woodfuel</w:t>
            </w:r>
            <w:proofErr w:type="spellEnd"/>
            <w:r w:rsidRPr="44E86778">
              <w:rPr>
                <w:rFonts w:eastAsia="Arial"/>
                <w:b/>
                <w:bCs/>
                <w:sz w:val="16"/>
                <w:szCs w:val="16"/>
              </w:rPr>
              <w:t xml:space="preserve"> consumption</w:t>
            </w:r>
            <w:r w:rsidRPr="11D35947">
              <w:rPr>
                <w:rFonts w:eastAsia="Arial"/>
                <w:b/>
                <w:bCs/>
                <w:sz w:val="16"/>
                <w:szCs w:val="16"/>
              </w:rPr>
              <w:t>,</w:t>
            </w:r>
          </w:p>
          <w:p w14:paraId="3781B3AC" w14:textId="4EEF70C7" w:rsidR="00013F5C" w:rsidRPr="7C8F1A08" w:rsidRDefault="00013F5C" w:rsidP="00013F5C">
            <w:pPr>
              <w:spacing w:before="40" w:after="40" w:line="259" w:lineRule="auto"/>
              <w:jc w:val="left"/>
              <w:rPr>
                <w:rFonts w:eastAsia="Arial"/>
                <w:b/>
                <w:bCs/>
                <w:sz w:val="16"/>
                <w:szCs w:val="16"/>
              </w:rPr>
            </w:pPr>
            <w:r w:rsidRPr="186F6602">
              <w:rPr>
                <w:rFonts w:eastAsia="Arial"/>
                <w:b/>
                <w:bCs/>
                <w:sz w:val="16"/>
                <w:szCs w:val="16"/>
              </w:rPr>
              <w:t>Table 2</w:t>
            </w:r>
          </w:p>
        </w:tc>
        <w:tc>
          <w:tcPr>
            <w:tcW w:w="922" w:type="dxa"/>
            <w:gridSpan w:val="2"/>
            <w:tcBorders>
              <w:top w:val="single" w:sz="6" w:space="0" w:color="auto"/>
              <w:left w:val="single" w:sz="6" w:space="0" w:color="auto"/>
              <w:bottom w:val="single" w:sz="6" w:space="0" w:color="auto"/>
              <w:right w:val="single" w:sz="6" w:space="0" w:color="auto"/>
            </w:tcBorders>
          </w:tcPr>
          <w:p w14:paraId="05D698A4" w14:textId="52C66A25" w:rsidR="00013F5C" w:rsidRPr="186F6602" w:rsidRDefault="00013F5C" w:rsidP="00013F5C">
            <w:pPr>
              <w:spacing w:before="40" w:after="40"/>
              <w:jc w:val="left"/>
              <w:rPr>
                <w:rFonts w:eastAsia="Arial"/>
                <w:b/>
                <w:bCs/>
                <w:sz w:val="16"/>
                <w:szCs w:val="16"/>
              </w:rPr>
            </w:pPr>
            <w:r w:rsidRPr="6C6DE026">
              <w:rPr>
                <w:rFonts w:eastAsia="Arial"/>
                <w:b/>
                <w:bCs/>
                <w:sz w:val="16"/>
                <w:szCs w:val="16"/>
              </w:rPr>
              <w:t xml:space="preserve">39 &amp; </w:t>
            </w:r>
            <w:r w:rsidRPr="5BE35945">
              <w:rPr>
                <w:rFonts w:eastAsia="Arial"/>
                <w:b/>
                <w:bCs/>
                <w:sz w:val="16"/>
                <w:szCs w:val="16"/>
              </w:rPr>
              <w:t>40</w:t>
            </w:r>
            <w:r w:rsidRPr="6C6DE026">
              <w:rPr>
                <w:rFonts w:eastAsia="Arial"/>
                <w:b/>
                <w:bCs/>
                <w:sz w:val="16"/>
                <w:szCs w:val="16"/>
              </w:rPr>
              <w:t xml:space="preserve"> </w:t>
            </w:r>
          </w:p>
        </w:tc>
        <w:tc>
          <w:tcPr>
            <w:tcW w:w="980" w:type="dxa"/>
            <w:tcBorders>
              <w:top w:val="single" w:sz="6" w:space="0" w:color="auto"/>
              <w:left w:val="single" w:sz="6" w:space="0" w:color="auto"/>
              <w:bottom w:val="single" w:sz="6" w:space="0" w:color="auto"/>
              <w:right w:val="single" w:sz="6" w:space="0" w:color="auto"/>
            </w:tcBorders>
          </w:tcPr>
          <w:p w14:paraId="14AA862D" w14:textId="20E2DDD7"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0CEEDFE"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Non-Residential Biomass Consumption</w:t>
            </w:r>
          </w:p>
          <w:p w14:paraId="2BC2F21C" w14:textId="77777777" w:rsidR="00013F5C" w:rsidRPr="00941A70" w:rsidRDefault="00013F5C" w:rsidP="00013F5C">
            <w:pPr>
              <w:jc w:val="left"/>
              <w:rPr>
                <w:rFonts w:eastAsia="Arial"/>
                <w:sz w:val="16"/>
                <w:szCs w:val="16"/>
              </w:rPr>
            </w:pPr>
          </w:p>
          <w:p w14:paraId="3A655720" w14:textId="2B31ACE7" w:rsidR="00013F5C" w:rsidRPr="00941A70" w:rsidRDefault="00013F5C" w:rsidP="00013F5C">
            <w:pPr>
              <w:jc w:val="left"/>
              <w:rPr>
                <w:rFonts w:eastAsia="Arial"/>
                <w:sz w:val="16"/>
                <w:szCs w:val="16"/>
              </w:rPr>
            </w:pPr>
            <w:r w:rsidRPr="00941A70">
              <w:rPr>
                <w:rFonts w:eastAsia="Arial"/>
                <w:sz w:val="16"/>
                <w:szCs w:val="16"/>
              </w:rPr>
              <w:t xml:space="preserve">In this update, overall wood consumption was increased by 10%, while charcoal consumption was increased by 20% to account for non-domestic </w:t>
            </w:r>
            <w:proofErr w:type="spellStart"/>
            <w:r w:rsidRPr="00941A70">
              <w:rPr>
                <w:rFonts w:eastAsia="Arial"/>
                <w:sz w:val="16"/>
                <w:szCs w:val="16"/>
              </w:rPr>
              <w:t>woodfuel</w:t>
            </w:r>
            <w:proofErr w:type="spellEnd"/>
            <w:r w:rsidRPr="00941A70">
              <w:rPr>
                <w:rFonts w:eastAsia="Arial"/>
                <w:sz w:val="16"/>
                <w:szCs w:val="16"/>
              </w:rPr>
              <w:t xml:space="preserve"> demand.</w:t>
            </w:r>
          </w:p>
          <w:p w14:paraId="5CCC2E2E" w14:textId="77777777" w:rsidR="00013F5C" w:rsidRPr="00941A70" w:rsidRDefault="00013F5C" w:rsidP="00013F5C">
            <w:pPr>
              <w:jc w:val="left"/>
              <w:rPr>
                <w:rFonts w:eastAsia="Arial"/>
                <w:sz w:val="16"/>
                <w:szCs w:val="16"/>
              </w:rPr>
            </w:pPr>
          </w:p>
          <w:p w14:paraId="20148676" w14:textId="77777777" w:rsidR="00013F5C" w:rsidRPr="00941A70" w:rsidRDefault="00013F5C" w:rsidP="00013F5C">
            <w:pPr>
              <w:jc w:val="left"/>
              <w:rPr>
                <w:rFonts w:eastAsia="Arial"/>
                <w:sz w:val="16"/>
                <w:szCs w:val="16"/>
              </w:rPr>
            </w:pPr>
            <w:r w:rsidRPr="00941A70">
              <w:rPr>
                <w:rFonts w:eastAsia="Arial"/>
                <w:sz w:val="16"/>
                <w:szCs w:val="16"/>
              </w:rPr>
              <w:t xml:space="preserve">While these percentage increases are based on a limited literature review focused on sub-Saharan Africa, relevant evidence suggests that consumption might be much more substantive and, as such, the proposed values could still be an underestimation of non-domestic demand. </w:t>
            </w:r>
          </w:p>
          <w:p w14:paraId="6CEA2178" w14:textId="77777777" w:rsidR="00013F5C" w:rsidRPr="00941A70" w:rsidRDefault="00013F5C" w:rsidP="00013F5C">
            <w:pPr>
              <w:spacing w:before="40" w:after="40"/>
              <w:jc w:val="left"/>
              <w:rPr>
                <w:rFonts w:eastAsia="Arial"/>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E7717FC" w14:textId="77777777" w:rsidR="00013F5C" w:rsidRPr="00941A70" w:rsidRDefault="00013F5C" w:rsidP="00013F5C">
            <w:pPr>
              <w:spacing w:before="40" w:after="40"/>
              <w:jc w:val="left"/>
              <w:rPr>
                <w:rFonts w:eastAsia="Arial"/>
                <w:sz w:val="16"/>
                <w:szCs w:val="16"/>
              </w:rPr>
            </w:pPr>
            <w:r w:rsidRPr="00941A70">
              <w:rPr>
                <w:rFonts w:eastAsia="Arial"/>
                <w:sz w:val="16"/>
                <w:szCs w:val="16"/>
              </w:rPr>
              <w:t xml:space="preserve">We suggest that the model developers’ and/or UNFCCC independently, conduct a more thorough literature review to obtain more accurate values on non-domestic woody biomass demand in SSA. The following references could be useful as a basis for an expanded literature review. While they do not provide exact estimates of overall non-domestic consumption, they do indicate quite substantive values on absolute and relative basis for different non-domestic uses, which are indeed intense in SSA, such as brick making, tobacco curing, etc. </w:t>
            </w:r>
          </w:p>
          <w:p w14:paraId="49E00473" w14:textId="77777777" w:rsidR="00013F5C" w:rsidRPr="00941A70" w:rsidRDefault="00013F5C" w:rsidP="00013F5C">
            <w:pPr>
              <w:spacing w:before="40" w:after="40"/>
              <w:jc w:val="left"/>
              <w:rPr>
                <w:rFonts w:eastAsia="Arial"/>
                <w:sz w:val="16"/>
                <w:szCs w:val="16"/>
              </w:rPr>
            </w:pPr>
          </w:p>
          <w:p w14:paraId="32178AD1" w14:textId="2390A76F" w:rsidR="00013F5C" w:rsidRPr="002A5CA7" w:rsidRDefault="00013F5C" w:rsidP="00013F5C">
            <w:pPr>
              <w:spacing w:before="40"/>
              <w:jc w:val="left"/>
              <w:rPr>
                <w:rStyle w:val="Hyperlink"/>
                <w:rFonts w:eastAsia="Arial"/>
                <w:color w:val="auto"/>
                <w:sz w:val="16"/>
                <w:szCs w:val="16"/>
              </w:rPr>
            </w:pPr>
            <w:r w:rsidRPr="002A5CA7">
              <w:rPr>
                <w:rFonts w:eastAsia="Arial"/>
                <w:sz w:val="16"/>
                <w:szCs w:val="16"/>
                <w:lang w:val="pt-BR"/>
              </w:rPr>
              <w:t xml:space="preserve">Alam, S. A., &amp; Starr, M., (2009). </w:t>
            </w:r>
            <w:r w:rsidRPr="002A5CA7">
              <w:rPr>
                <w:rFonts w:eastAsia="Arial"/>
                <w:sz w:val="16"/>
                <w:szCs w:val="16"/>
              </w:rPr>
              <w:t xml:space="preserve">Deforestation and greenhouse gas emissions associated with fuelwood consumption of the brick making industry in Sudan. Science of The Total Environment, 407(2), 847–852. </w:t>
            </w:r>
            <w:hyperlink r:id="rId12">
              <w:r w:rsidRPr="002A5CA7">
                <w:rPr>
                  <w:rStyle w:val="Hyperlink"/>
                  <w:rFonts w:eastAsia="Arial"/>
                  <w:color w:val="auto"/>
                  <w:sz w:val="16"/>
                  <w:szCs w:val="16"/>
                </w:rPr>
                <w:t>https://doi.org/10.1016/j.scitotenv.2008.09.040</w:t>
              </w:r>
            </w:hyperlink>
          </w:p>
          <w:p w14:paraId="4C354200" w14:textId="77777777" w:rsidR="00013F5C" w:rsidRPr="00941A70" w:rsidRDefault="00013F5C" w:rsidP="00013F5C">
            <w:pPr>
              <w:spacing w:before="40"/>
              <w:jc w:val="left"/>
              <w:rPr>
                <w:rFonts w:eastAsia="Arial"/>
                <w:sz w:val="16"/>
                <w:szCs w:val="16"/>
              </w:rPr>
            </w:pPr>
          </w:p>
          <w:p w14:paraId="3231DE2E" w14:textId="77777777" w:rsidR="00013F5C" w:rsidRPr="00941A70" w:rsidRDefault="00013F5C" w:rsidP="00013F5C">
            <w:pPr>
              <w:spacing w:before="40"/>
              <w:jc w:val="left"/>
              <w:rPr>
                <w:rFonts w:eastAsia="Arial"/>
                <w:sz w:val="16"/>
                <w:szCs w:val="16"/>
              </w:rPr>
            </w:pPr>
            <w:proofErr w:type="spellStart"/>
            <w:r w:rsidRPr="00941A70">
              <w:rPr>
                <w:rFonts w:eastAsia="Arial"/>
                <w:sz w:val="16"/>
                <w:szCs w:val="16"/>
              </w:rPr>
              <w:t>Bockaire</w:t>
            </w:r>
            <w:proofErr w:type="spellEnd"/>
            <w:r w:rsidRPr="00941A70">
              <w:rPr>
                <w:rFonts w:eastAsia="Arial"/>
                <w:sz w:val="16"/>
                <w:szCs w:val="16"/>
              </w:rPr>
              <w:t xml:space="preserve">, A.S., Marais, I.A. and </w:t>
            </w:r>
            <w:proofErr w:type="spellStart"/>
            <w:r w:rsidRPr="00941A70">
              <w:rPr>
                <w:rFonts w:eastAsia="Arial"/>
                <w:sz w:val="16"/>
                <w:szCs w:val="16"/>
              </w:rPr>
              <w:t>MacKenzie</w:t>
            </w:r>
            <w:proofErr w:type="spellEnd"/>
            <w:r w:rsidRPr="00941A70">
              <w:rPr>
                <w:rFonts w:eastAsia="Arial"/>
                <w:sz w:val="16"/>
                <w:szCs w:val="16"/>
              </w:rPr>
              <w:t>, A.R.  (2020). Air Pollution and Climate Forcing of the Charcoal Industry in Africa. In: Environ. Sci. Technol. 2020, 54, 13429−13438</w:t>
            </w:r>
          </w:p>
          <w:p w14:paraId="3E255EEE" w14:textId="77777777" w:rsidR="00013F5C" w:rsidRPr="00941A70" w:rsidRDefault="00013F5C" w:rsidP="00013F5C">
            <w:pPr>
              <w:spacing w:before="40"/>
              <w:jc w:val="left"/>
              <w:rPr>
                <w:rFonts w:eastAsia="Arial"/>
                <w:sz w:val="16"/>
                <w:szCs w:val="16"/>
              </w:rPr>
            </w:pPr>
          </w:p>
          <w:p w14:paraId="3AB7B098" w14:textId="77777777" w:rsidR="00013F5C" w:rsidRPr="00941A70" w:rsidRDefault="00013F5C" w:rsidP="00013F5C">
            <w:pPr>
              <w:spacing w:before="40"/>
              <w:jc w:val="left"/>
              <w:rPr>
                <w:rStyle w:val="Hyperlink"/>
                <w:rFonts w:eastAsia="Arial"/>
                <w:color w:val="auto"/>
                <w:sz w:val="16"/>
                <w:szCs w:val="16"/>
              </w:rPr>
            </w:pPr>
            <w:proofErr w:type="spellStart"/>
            <w:r w:rsidRPr="00941A70">
              <w:rPr>
                <w:rFonts w:eastAsia="Arial"/>
                <w:sz w:val="16"/>
                <w:szCs w:val="16"/>
              </w:rPr>
              <w:t>Bossard</w:t>
            </w:r>
            <w:proofErr w:type="spellEnd"/>
            <w:r w:rsidRPr="00941A70">
              <w:rPr>
                <w:rFonts w:eastAsia="Arial"/>
                <w:sz w:val="16"/>
                <w:szCs w:val="16"/>
              </w:rPr>
              <w:t xml:space="preserve">, A. L., (2022). Investigating the Optimization Potential of Brick Clamps in Malawi: Thermal efficiency analysis and perspectives of brickmakers. </w:t>
            </w:r>
            <w:hyperlink r:id="rId13" w:history="1">
              <w:r w:rsidRPr="00941A70">
                <w:rPr>
                  <w:rStyle w:val="Hyperlink"/>
                  <w:rFonts w:eastAsia="Arial"/>
                  <w:color w:val="auto"/>
                  <w:sz w:val="16"/>
                  <w:szCs w:val="16"/>
                </w:rPr>
                <w:t>https://doi.org/10.3929/ethz-b-000580955</w:t>
              </w:r>
            </w:hyperlink>
          </w:p>
          <w:p w14:paraId="33FE92C8" w14:textId="77777777" w:rsidR="00013F5C" w:rsidRPr="00941A70" w:rsidRDefault="00013F5C" w:rsidP="00013F5C">
            <w:pPr>
              <w:spacing w:before="40"/>
              <w:jc w:val="left"/>
              <w:rPr>
                <w:rFonts w:eastAsia="Arial"/>
                <w:sz w:val="16"/>
                <w:szCs w:val="16"/>
              </w:rPr>
            </w:pPr>
          </w:p>
          <w:p w14:paraId="4851DB25" w14:textId="77777777" w:rsidR="00013F5C" w:rsidRPr="00941A70" w:rsidRDefault="00013F5C" w:rsidP="00013F5C">
            <w:pPr>
              <w:spacing w:before="40"/>
              <w:jc w:val="left"/>
              <w:rPr>
                <w:rFonts w:eastAsia="Arial"/>
                <w:sz w:val="16"/>
                <w:szCs w:val="16"/>
              </w:rPr>
            </w:pPr>
            <w:r w:rsidRPr="00941A70">
              <w:rPr>
                <w:rFonts w:eastAsia="Arial"/>
                <w:sz w:val="16"/>
                <w:szCs w:val="16"/>
              </w:rPr>
              <w:t xml:space="preserve">Clay Brick Association </w:t>
            </w:r>
            <w:proofErr w:type="gramStart"/>
            <w:r w:rsidRPr="00941A70">
              <w:rPr>
                <w:rFonts w:eastAsia="Arial"/>
                <w:sz w:val="16"/>
                <w:szCs w:val="16"/>
              </w:rPr>
              <w:t>Of</w:t>
            </w:r>
            <w:proofErr w:type="gramEnd"/>
            <w:r w:rsidRPr="00941A70">
              <w:rPr>
                <w:rFonts w:eastAsia="Arial"/>
                <w:sz w:val="16"/>
                <w:szCs w:val="16"/>
              </w:rPr>
              <w:t xml:space="preserve"> Southern Africa (2017). </w:t>
            </w:r>
            <w:hyperlink r:id="rId14" w:history="1">
              <w:r w:rsidRPr="00941A70">
                <w:rPr>
                  <w:rStyle w:val="Hyperlink"/>
                  <w:rFonts w:eastAsia="Arial"/>
                  <w:color w:val="auto"/>
                  <w:sz w:val="16"/>
                  <w:szCs w:val="16"/>
                </w:rPr>
                <w:t>https://claybrick.org/clay</w:t>
              </w:r>
            </w:hyperlink>
            <w:r w:rsidRPr="00941A70">
              <w:rPr>
                <w:rFonts w:eastAsia="Arial"/>
                <w:sz w:val="16"/>
                <w:szCs w:val="16"/>
              </w:rPr>
              <w:t xml:space="preserve"> brick-production-southern-</w:t>
            </w:r>
            <w:proofErr w:type="spellStart"/>
            <w:r w:rsidRPr="00941A70">
              <w:rPr>
                <w:rFonts w:eastAsia="Arial"/>
                <w:sz w:val="16"/>
                <w:szCs w:val="16"/>
              </w:rPr>
              <w:t>africa</w:t>
            </w:r>
            <w:proofErr w:type="spellEnd"/>
          </w:p>
          <w:p w14:paraId="07510824" w14:textId="77777777" w:rsidR="00013F5C" w:rsidRPr="00941A70" w:rsidRDefault="00013F5C" w:rsidP="00013F5C">
            <w:pPr>
              <w:spacing w:before="40"/>
              <w:jc w:val="left"/>
              <w:rPr>
                <w:rFonts w:eastAsia="Arial"/>
                <w:sz w:val="16"/>
                <w:szCs w:val="16"/>
              </w:rPr>
            </w:pPr>
          </w:p>
          <w:p w14:paraId="4AB1FD8E" w14:textId="77777777" w:rsidR="00013F5C" w:rsidRPr="00941A70" w:rsidRDefault="00013F5C" w:rsidP="00013F5C">
            <w:pPr>
              <w:spacing w:before="40"/>
              <w:jc w:val="left"/>
              <w:rPr>
                <w:rFonts w:eastAsia="Arial"/>
                <w:sz w:val="16"/>
                <w:szCs w:val="16"/>
              </w:rPr>
            </w:pPr>
            <w:r w:rsidRPr="00941A70">
              <w:rPr>
                <w:rFonts w:eastAsia="Arial"/>
                <w:sz w:val="16"/>
                <w:szCs w:val="16"/>
              </w:rPr>
              <w:t>Kissinger, G., M. Herold, V. De Sy (2012). Drivers of Deforestation and Forest Degradation: A Synthesis Report for REDD+ Policymakers, Lexeme Consulting, Vancouver.</w:t>
            </w:r>
          </w:p>
          <w:p w14:paraId="29591E6F" w14:textId="77777777" w:rsidR="00013F5C" w:rsidRPr="00941A70" w:rsidRDefault="00013F5C" w:rsidP="00013F5C">
            <w:pPr>
              <w:spacing w:before="40"/>
              <w:jc w:val="left"/>
              <w:rPr>
                <w:rFonts w:eastAsia="Arial"/>
                <w:sz w:val="16"/>
                <w:szCs w:val="16"/>
              </w:rPr>
            </w:pPr>
          </w:p>
          <w:p w14:paraId="5AF146BD" w14:textId="77777777" w:rsidR="00013F5C" w:rsidRPr="00941A70" w:rsidRDefault="00013F5C" w:rsidP="00013F5C">
            <w:pPr>
              <w:spacing w:before="40"/>
              <w:jc w:val="left"/>
              <w:rPr>
                <w:rStyle w:val="Hyperlink"/>
                <w:rFonts w:eastAsia="Arial"/>
                <w:color w:val="auto"/>
                <w:sz w:val="16"/>
                <w:szCs w:val="16"/>
              </w:rPr>
            </w:pPr>
            <w:r w:rsidRPr="00941A70">
              <w:rPr>
                <w:rFonts w:eastAsia="Arial"/>
                <w:sz w:val="16"/>
                <w:szCs w:val="16"/>
              </w:rPr>
              <w:t xml:space="preserve">Ngwira, S., &amp; Watanabe, T. (2019). An Analysis of the Causes of Deforestation in Malawi: A Case of </w:t>
            </w:r>
            <w:proofErr w:type="spellStart"/>
            <w:r w:rsidRPr="00941A70">
              <w:rPr>
                <w:rFonts w:eastAsia="Arial"/>
                <w:sz w:val="16"/>
                <w:szCs w:val="16"/>
              </w:rPr>
              <w:t>Mwazisi</w:t>
            </w:r>
            <w:proofErr w:type="spellEnd"/>
            <w:r w:rsidRPr="00941A70">
              <w:rPr>
                <w:rFonts w:eastAsia="Arial"/>
                <w:sz w:val="16"/>
                <w:szCs w:val="16"/>
              </w:rPr>
              <w:t xml:space="preserve">. Land, 8(3), Article 3. </w:t>
            </w:r>
            <w:hyperlink r:id="rId15" w:history="1">
              <w:r w:rsidRPr="00941A70">
                <w:rPr>
                  <w:rStyle w:val="Hyperlink"/>
                  <w:rFonts w:eastAsia="Arial"/>
                  <w:color w:val="auto"/>
                  <w:sz w:val="16"/>
                  <w:szCs w:val="16"/>
                </w:rPr>
                <w:t>https://doi.org/10.3390/land8030048</w:t>
              </w:r>
            </w:hyperlink>
          </w:p>
          <w:p w14:paraId="7533A643" w14:textId="77777777" w:rsidR="00013F5C" w:rsidRPr="00941A70" w:rsidRDefault="00013F5C" w:rsidP="00013F5C">
            <w:pPr>
              <w:spacing w:before="40"/>
              <w:jc w:val="left"/>
              <w:rPr>
                <w:rFonts w:eastAsia="Arial"/>
                <w:sz w:val="16"/>
                <w:szCs w:val="16"/>
              </w:rPr>
            </w:pPr>
          </w:p>
          <w:p w14:paraId="597E3DDE" w14:textId="77777777" w:rsidR="00013F5C" w:rsidRPr="00941A70" w:rsidRDefault="00013F5C" w:rsidP="00013F5C">
            <w:pPr>
              <w:spacing w:before="40"/>
              <w:jc w:val="left"/>
              <w:rPr>
                <w:rStyle w:val="Hyperlink"/>
                <w:rFonts w:eastAsia="Arial"/>
                <w:color w:val="auto"/>
                <w:sz w:val="16"/>
                <w:szCs w:val="16"/>
              </w:rPr>
            </w:pPr>
            <w:r w:rsidRPr="00941A70">
              <w:rPr>
                <w:rFonts w:eastAsia="Arial"/>
                <w:sz w:val="16"/>
                <w:szCs w:val="16"/>
              </w:rPr>
              <w:t xml:space="preserve">Noriko </w:t>
            </w:r>
            <w:proofErr w:type="spellStart"/>
            <w:r w:rsidRPr="00941A70">
              <w:rPr>
                <w:rFonts w:eastAsia="Arial"/>
                <w:sz w:val="16"/>
                <w:szCs w:val="16"/>
              </w:rPr>
              <w:t>Hosonuma</w:t>
            </w:r>
            <w:proofErr w:type="spellEnd"/>
            <w:r w:rsidRPr="00941A70">
              <w:rPr>
                <w:rFonts w:eastAsia="Arial"/>
                <w:sz w:val="16"/>
                <w:szCs w:val="16"/>
              </w:rPr>
              <w:t xml:space="preserve"> et. Al. (2012). An assessment of deforestation and forest degradation drivers in developing countries - Environmental Research Letters - 7 044009, </w:t>
            </w:r>
            <w:hyperlink r:id="rId16" w:history="1">
              <w:r w:rsidRPr="00941A70">
                <w:rPr>
                  <w:rStyle w:val="Hyperlink"/>
                  <w:rFonts w:eastAsia="Arial"/>
                  <w:color w:val="auto"/>
                  <w:sz w:val="16"/>
                  <w:szCs w:val="16"/>
                </w:rPr>
                <w:t>https://hdl.handle.net/10568/94338</w:t>
              </w:r>
            </w:hyperlink>
          </w:p>
          <w:p w14:paraId="5B184C48" w14:textId="77777777" w:rsidR="00013F5C" w:rsidRPr="00941A70" w:rsidRDefault="00013F5C" w:rsidP="00013F5C">
            <w:pPr>
              <w:spacing w:before="40"/>
              <w:jc w:val="left"/>
              <w:rPr>
                <w:rFonts w:eastAsia="Arial"/>
                <w:sz w:val="16"/>
                <w:szCs w:val="16"/>
              </w:rPr>
            </w:pPr>
          </w:p>
          <w:p w14:paraId="4E334FCE" w14:textId="77777777" w:rsidR="00013F5C" w:rsidRPr="00941A70" w:rsidRDefault="00013F5C" w:rsidP="00013F5C">
            <w:pPr>
              <w:spacing w:before="40"/>
              <w:jc w:val="left"/>
              <w:rPr>
                <w:rFonts w:eastAsia="Arial"/>
                <w:sz w:val="16"/>
                <w:szCs w:val="16"/>
              </w:rPr>
            </w:pPr>
            <w:r w:rsidRPr="00941A70">
              <w:rPr>
                <w:rFonts w:eastAsia="Arial"/>
                <w:sz w:val="16"/>
                <w:szCs w:val="16"/>
                <w:lang w:val="es"/>
              </w:rPr>
              <w:t>Pacheco, P., Mo, K., Dudley, N., Shapiro, A., Aguilar-</w:t>
            </w:r>
            <w:proofErr w:type="spellStart"/>
            <w:r w:rsidRPr="00941A70">
              <w:rPr>
                <w:rFonts w:eastAsia="Arial"/>
                <w:sz w:val="16"/>
                <w:szCs w:val="16"/>
                <w:lang w:val="es"/>
              </w:rPr>
              <w:t>Amuchastegui</w:t>
            </w:r>
            <w:proofErr w:type="spellEnd"/>
            <w:r w:rsidRPr="00941A70">
              <w:rPr>
                <w:rFonts w:eastAsia="Arial"/>
                <w:sz w:val="16"/>
                <w:szCs w:val="16"/>
                <w:lang w:val="es"/>
              </w:rPr>
              <w:t xml:space="preserve">, N., Ling, P.Y., et al. </w:t>
            </w:r>
            <w:r w:rsidRPr="00941A70">
              <w:rPr>
                <w:rFonts w:eastAsia="Arial"/>
                <w:sz w:val="16"/>
                <w:szCs w:val="16"/>
              </w:rPr>
              <w:t>(2021). Deforestation fronts: Drivers and responses in a changing world. WWF, Gland.</w:t>
            </w:r>
          </w:p>
          <w:p w14:paraId="21897006" w14:textId="77777777" w:rsidR="00013F5C" w:rsidRPr="00941A70" w:rsidRDefault="00013F5C" w:rsidP="00013F5C">
            <w:pPr>
              <w:spacing w:before="40"/>
              <w:jc w:val="left"/>
              <w:rPr>
                <w:rFonts w:eastAsia="Arial"/>
                <w:sz w:val="16"/>
                <w:szCs w:val="16"/>
              </w:rPr>
            </w:pPr>
          </w:p>
          <w:p w14:paraId="309B5605" w14:textId="77777777" w:rsidR="00013F5C" w:rsidRPr="00941A70" w:rsidRDefault="00013F5C" w:rsidP="00013F5C">
            <w:pPr>
              <w:spacing w:before="40"/>
              <w:jc w:val="left"/>
              <w:rPr>
                <w:rStyle w:val="Hyperlink"/>
                <w:rFonts w:eastAsia="Arial"/>
                <w:color w:val="auto"/>
                <w:sz w:val="16"/>
                <w:szCs w:val="16"/>
              </w:rPr>
            </w:pPr>
            <w:proofErr w:type="spellStart"/>
            <w:r w:rsidRPr="00D84278">
              <w:rPr>
                <w:rFonts w:eastAsia="Arial"/>
                <w:sz w:val="16"/>
                <w:szCs w:val="16"/>
                <w:lang w:val="nl-NL"/>
              </w:rPr>
              <w:t>Sampe</w:t>
            </w:r>
            <w:proofErr w:type="spellEnd"/>
            <w:r w:rsidRPr="00D84278">
              <w:rPr>
                <w:rFonts w:eastAsia="Arial"/>
                <w:sz w:val="16"/>
                <w:szCs w:val="16"/>
                <w:lang w:val="nl-NL"/>
              </w:rPr>
              <w:t xml:space="preserve">, F., &amp; </w:t>
            </w:r>
            <w:proofErr w:type="spellStart"/>
            <w:r w:rsidRPr="00D84278">
              <w:rPr>
                <w:rFonts w:eastAsia="Arial"/>
                <w:sz w:val="16"/>
                <w:szCs w:val="16"/>
                <w:lang w:val="nl-NL"/>
              </w:rPr>
              <w:t>Pakiding</w:t>
            </w:r>
            <w:proofErr w:type="spellEnd"/>
            <w:r w:rsidRPr="00D84278">
              <w:rPr>
                <w:rFonts w:eastAsia="Arial"/>
                <w:sz w:val="16"/>
                <w:szCs w:val="16"/>
                <w:lang w:val="nl-NL"/>
              </w:rPr>
              <w:t xml:space="preserve">, D. L. (2015). </w:t>
            </w:r>
            <w:r w:rsidRPr="00941A70">
              <w:rPr>
                <w:rFonts w:eastAsia="Arial"/>
                <w:sz w:val="16"/>
                <w:szCs w:val="16"/>
              </w:rPr>
              <w:t xml:space="preserve">Perception of Traditional </w:t>
            </w:r>
            <w:proofErr w:type="gramStart"/>
            <w:r w:rsidRPr="00941A70">
              <w:rPr>
                <w:rFonts w:eastAsia="Arial"/>
                <w:sz w:val="16"/>
                <w:szCs w:val="16"/>
              </w:rPr>
              <w:t>Small Scale</w:t>
            </w:r>
            <w:proofErr w:type="gramEnd"/>
            <w:r w:rsidRPr="00941A70">
              <w:rPr>
                <w:rFonts w:eastAsia="Arial"/>
                <w:sz w:val="16"/>
                <w:szCs w:val="16"/>
              </w:rPr>
              <w:t xml:space="preserve"> Brick-making owner on firewood usage for Brick-making process. Procedia - Social and </w:t>
            </w:r>
            <w:proofErr w:type="spellStart"/>
            <w:r w:rsidRPr="00941A70">
              <w:rPr>
                <w:rFonts w:eastAsia="Arial"/>
                <w:sz w:val="16"/>
                <w:szCs w:val="16"/>
              </w:rPr>
              <w:t>Behavioral</w:t>
            </w:r>
            <w:proofErr w:type="spellEnd"/>
            <w:r w:rsidRPr="00941A70">
              <w:rPr>
                <w:rFonts w:eastAsia="Arial"/>
                <w:sz w:val="16"/>
                <w:szCs w:val="16"/>
              </w:rPr>
              <w:t xml:space="preserve"> Sciences, 211, 653–659. </w:t>
            </w:r>
            <w:hyperlink r:id="rId17" w:history="1">
              <w:r w:rsidRPr="00941A70">
                <w:rPr>
                  <w:rStyle w:val="Hyperlink"/>
                  <w:rFonts w:eastAsia="Arial"/>
                  <w:color w:val="auto"/>
                  <w:sz w:val="16"/>
                  <w:szCs w:val="16"/>
                </w:rPr>
                <w:t>https://doi.org/10.1016/j.sbspro.2015.11.095</w:t>
              </w:r>
            </w:hyperlink>
          </w:p>
          <w:p w14:paraId="6D12F07A" w14:textId="77777777" w:rsidR="00013F5C" w:rsidRPr="00941A70" w:rsidRDefault="00013F5C" w:rsidP="00013F5C">
            <w:pPr>
              <w:spacing w:before="40" w:after="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AA06A24" w14:textId="77777777" w:rsidR="00013F5C" w:rsidRDefault="00013F5C" w:rsidP="00013F5C">
            <w:pPr>
              <w:spacing w:line="190" w:lineRule="exact"/>
              <w:jc w:val="left"/>
              <w:rPr>
                <w:b/>
                <w:bCs/>
                <w:sz w:val="16"/>
                <w:szCs w:val="16"/>
              </w:rPr>
            </w:pPr>
          </w:p>
        </w:tc>
      </w:tr>
      <w:tr w:rsidR="00013F5C" w14:paraId="6AC1A4C5"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5C79838" w14:textId="3B81DB1C" w:rsidR="00013F5C" w:rsidRPr="628A9BD2" w:rsidRDefault="00013F5C" w:rsidP="00013F5C">
            <w:pPr>
              <w:spacing w:line="190" w:lineRule="exact"/>
              <w:jc w:val="left"/>
              <w:rPr>
                <w:b/>
                <w:bCs/>
                <w:sz w:val="16"/>
                <w:szCs w:val="16"/>
              </w:rPr>
            </w:pPr>
            <w:r w:rsidRPr="7FA2EAEF">
              <w:rPr>
                <w:b/>
                <w:bCs/>
                <w:sz w:val="16"/>
                <w:szCs w:val="16"/>
              </w:rPr>
              <w:t>2</w:t>
            </w:r>
            <w:r w:rsidR="002C1B9B">
              <w:rPr>
                <w:b/>
                <w:bCs/>
                <w:sz w:val="16"/>
                <w:szCs w:val="16"/>
              </w:rPr>
              <w:t>3</w:t>
            </w:r>
          </w:p>
        </w:tc>
        <w:tc>
          <w:tcPr>
            <w:tcW w:w="1425" w:type="dxa"/>
            <w:tcBorders>
              <w:top w:val="single" w:sz="6" w:space="0" w:color="auto"/>
              <w:left w:val="single" w:sz="6" w:space="0" w:color="auto"/>
              <w:bottom w:val="single" w:sz="6" w:space="0" w:color="auto"/>
              <w:right w:val="single" w:sz="6" w:space="0" w:color="auto"/>
            </w:tcBorders>
          </w:tcPr>
          <w:p w14:paraId="2527488E" w14:textId="317FB9BE" w:rsidR="00013F5C" w:rsidRPr="44F1EF09" w:rsidRDefault="00013F5C" w:rsidP="00013F5C">
            <w:pPr>
              <w:spacing w:before="40" w:after="40" w:line="259" w:lineRule="auto"/>
              <w:jc w:val="left"/>
              <w:rPr>
                <w:rFonts w:eastAsia="Arial"/>
                <w:b/>
                <w:bCs/>
                <w:sz w:val="16"/>
                <w:szCs w:val="16"/>
              </w:rPr>
            </w:pPr>
            <w:r w:rsidRPr="06BDEC6D">
              <w:rPr>
                <w:rFonts w:eastAsia="Arial"/>
                <w:b/>
                <w:bCs/>
                <w:sz w:val="16"/>
                <w:szCs w:val="16"/>
              </w:rPr>
              <w:t xml:space="preserve">2.8 Residential, commercial, and industrial </w:t>
            </w:r>
            <w:proofErr w:type="spellStart"/>
            <w:r w:rsidRPr="06BDEC6D">
              <w:rPr>
                <w:rFonts w:eastAsia="Arial"/>
                <w:b/>
                <w:bCs/>
                <w:sz w:val="16"/>
                <w:szCs w:val="16"/>
              </w:rPr>
              <w:t>woodfuel</w:t>
            </w:r>
            <w:proofErr w:type="spellEnd"/>
            <w:r w:rsidRPr="06BDEC6D">
              <w:rPr>
                <w:rFonts w:eastAsia="Arial"/>
                <w:b/>
                <w:bCs/>
                <w:sz w:val="16"/>
                <w:szCs w:val="16"/>
              </w:rPr>
              <w:t xml:space="preserve"> consumption, Para </w:t>
            </w:r>
            <w:r w:rsidRPr="6825554B">
              <w:rPr>
                <w:rFonts w:eastAsia="Arial"/>
                <w:b/>
                <w:bCs/>
                <w:sz w:val="16"/>
                <w:szCs w:val="16"/>
              </w:rPr>
              <w:t xml:space="preserve">39 &amp; </w:t>
            </w:r>
            <w:r w:rsidRPr="43600B9D">
              <w:rPr>
                <w:rFonts w:eastAsia="Arial"/>
                <w:b/>
                <w:bCs/>
                <w:sz w:val="16"/>
                <w:szCs w:val="16"/>
              </w:rPr>
              <w:t>40</w:t>
            </w:r>
          </w:p>
        </w:tc>
        <w:tc>
          <w:tcPr>
            <w:tcW w:w="922" w:type="dxa"/>
            <w:gridSpan w:val="2"/>
            <w:tcBorders>
              <w:top w:val="single" w:sz="6" w:space="0" w:color="auto"/>
              <w:left w:val="single" w:sz="6" w:space="0" w:color="auto"/>
              <w:bottom w:val="single" w:sz="6" w:space="0" w:color="auto"/>
              <w:right w:val="single" w:sz="6" w:space="0" w:color="auto"/>
            </w:tcBorders>
          </w:tcPr>
          <w:p w14:paraId="6F172981" w14:textId="0FD88A68" w:rsidR="00013F5C" w:rsidRPr="6C6DE026" w:rsidRDefault="00013F5C" w:rsidP="00013F5C">
            <w:pPr>
              <w:spacing w:before="40" w:after="40"/>
              <w:jc w:val="left"/>
              <w:rPr>
                <w:rFonts w:eastAsia="Arial"/>
                <w:b/>
                <w:bCs/>
                <w:sz w:val="16"/>
                <w:szCs w:val="16"/>
              </w:rPr>
            </w:pPr>
            <w:r w:rsidRPr="186F6602">
              <w:rPr>
                <w:rFonts w:eastAsia="Arial"/>
                <w:b/>
                <w:bCs/>
                <w:sz w:val="16"/>
                <w:szCs w:val="16"/>
              </w:rPr>
              <w:t>39 &amp; 40</w:t>
            </w:r>
          </w:p>
        </w:tc>
        <w:tc>
          <w:tcPr>
            <w:tcW w:w="980" w:type="dxa"/>
            <w:tcBorders>
              <w:top w:val="single" w:sz="6" w:space="0" w:color="auto"/>
              <w:left w:val="single" w:sz="6" w:space="0" w:color="auto"/>
              <w:bottom w:val="single" w:sz="6" w:space="0" w:color="auto"/>
              <w:right w:val="single" w:sz="6" w:space="0" w:color="auto"/>
            </w:tcBorders>
          </w:tcPr>
          <w:p w14:paraId="66A0235C" w14:textId="01427587"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DA362EE"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Non-residential biomass consumption</w:t>
            </w:r>
          </w:p>
          <w:p w14:paraId="301728B8" w14:textId="5C222C53" w:rsidR="00013F5C" w:rsidRPr="00941A70" w:rsidRDefault="00013F5C" w:rsidP="00013F5C">
            <w:pPr>
              <w:jc w:val="left"/>
              <w:rPr>
                <w:rFonts w:eastAsia="Arial"/>
                <w:sz w:val="16"/>
                <w:szCs w:val="16"/>
              </w:rPr>
            </w:pPr>
            <w:proofErr w:type="spellStart"/>
            <w:r w:rsidRPr="00941A70">
              <w:rPr>
                <w:rFonts w:eastAsia="Arial"/>
                <w:sz w:val="16"/>
                <w:szCs w:val="16"/>
              </w:rPr>
              <w:t>Bailis</w:t>
            </w:r>
            <w:proofErr w:type="spellEnd"/>
            <w:r w:rsidRPr="00941A70">
              <w:rPr>
                <w:rFonts w:eastAsia="Arial"/>
                <w:sz w:val="16"/>
                <w:szCs w:val="16"/>
              </w:rPr>
              <w:t xml:space="preserve"> acknowledges that non-residential biomass consumption was previously not factored into the </w:t>
            </w:r>
            <w:proofErr w:type="spellStart"/>
            <w:r w:rsidR="00847B1A">
              <w:rPr>
                <w:rFonts w:eastAsia="Arial"/>
                <w:sz w:val="16"/>
                <w:szCs w:val="16"/>
              </w:rPr>
              <w:t>MoFuSS</w:t>
            </w:r>
            <w:proofErr w:type="spellEnd"/>
            <w:r w:rsidRPr="00941A70">
              <w:rPr>
                <w:rFonts w:eastAsia="Arial"/>
                <w:sz w:val="16"/>
                <w:szCs w:val="16"/>
              </w:rPr>
              <w:t xml:space="preserve"> model and that this has now been applied in the revised numbers. By sampling 4 countries, a weighted average has been applied. However, the weighted average is general when there is the ability for it to be specific by </w:t>
            </w:r>
            <w:proofErr w:type="spellStart"/>
            <w:r w:rsidRPr="00941A70">
              <w:rPr>
                <w:rFonts w:eastAsia="Arial"/>
                <w:sz w:val="16"/>
                <w:szCs w:val="16"/>
              </w:rPr>
              <w:t>Bailis</w:t>
            </w:r>
            <w:proofErr w:type="spellEnd"/>
            <w:r w:rsidRPr="00941A70">
              <w:rPr>
                <w:rFonts w:eastAsia="Arial"/>
                <w:sz w:val="16"/>
                <w:szCs w:val="16"/>
              </w:rPr>
              <w:t xml:space="preserve">. When trying to build credibility into these numbers, especially with sub-Saharan African governments, where accurate country level data exists it should be applied for said country as opposed to applying a weighted average. </w:t>
            </w:r>
          </w:p>
          <w:p w14:paraId="4ECDCB88" w14:textId="77777777" w:rsidR="00013F5C" w:rsidRPr="00941A70" w:rsidRDefault="00013F5C" w:rsidP="00013F5C">
            <w:pPr>
              <w:jc w:val="left"/>
              <w:rPr>
                <w:rFonts w:eastAsia="Arial"/>
                <w:sz w:val="16"/>
                <w:szCs w:val="16"/>
              </w:rPr>
            </w:pPr>
          </w:p>
          <w:p w14:paraId="28797709" w14:textId="737E23B3" w:rsidR="00013F5C" w:rsidRPr="00941A70" w:rsidRDefault="00013F5C" w:rsidP="00013F5C">
            <w:pPr>
              <w:jc w:val="left"/>
              <w:rPr>
                <w:rFonts w:eastAsia="Arial"/>
                <w:sz w:val="16"/>
                <w:szCs w:val="16"/>
              </w:rPr>
            </w:pPr>
            <w:r w:rsidRPr="00941A70">
              <w:rPr>
                <w:rFonts w:eastAsia="Arial"/>
                <w:sz w:val="16"/>
                <w:szCs w:val="16"/>
              </w:rPr>
              <w:t xml:space="preserve">In the example of the Rwanda non-residential biomass consumption figures, these come from high-quality Government of Rwanda data and as such by taking an average you are creating a reduced </w:t>
            </w:r>
            <w:proofErr w:type="spellStart"/>
            <w:r w:rsidRPr="00941A70">
              <w:rPr>
                <w:rFonts w:eastAsia="Arial"/>
                <w:sz w:val="16"/>
                <w:szCs w:val="16"/>
              </w:rPr>
              <w:t>fNRB</w:t>
            </w:r>
            <w:proofErr w:type="spellEnd"/>
            <w:r w:rsidRPr="00941A70">
              <w:rPr>
                <w:rFonts w:eastAsia="Arial"/>
                <w:sz w:val="16"/>
                <w:szCs w:val="16"/>
              </w:rPr>
              <w:t xml:space="preserve"> number for Rwanda which is inaccurate.</w:t>
            </w:r>
          </w:p>
        </w:tc>
        <w:tc>
          <w:tcPr>
            <w:tcW w:w="4253" w:type="dxa"/>
            <w:tcBorders>
              <w:top w:val="single" w:sz="6" w:space="0" w:color="auto"/>
              <w:left w:val="single" w:sz="6" w:space="0" w:color="auto"/>
              <w:bottom w:val="single" w:sz="6" w:space="0" w:color="auto"/>
              <w:right w:val="single" w:sz="6" w:space="0" w:color="auto"/>
            </w:tcBorders>
          </w:tcPr>
          <w:p w14:paraId="27C35B38" w14:textId="191BB7DD" w:rsidR="00013F5C" w:rsidRPr="00941A70" w:rsidRDefault="00013F5C" w:rsidP="00013F5C">
            <w:pPr>
              <w:spacing w:before="40" w:after="40"/>
              <w:jc w:val="left"/>
              <w:rPr>
                <w:rFonts w:eastAsia="Arial"/>
                <w:sz w:val="16"/>
                <w:szCs w:val="16"/>
              </w:rPr>
            </w:pPr>
            <w:r w:rsidRPr="00941A70">
              <w:rPr>
                <w:rFonts w:eastAsia="Arial"/>
                <w:sz w:val="16"/>
                <w:szCs w:val="16"/>
              </w:rPr>
              <w:t xml:space="preserve">In cases where there is accurate and reliable data on non-residential biomass consumption, such as is the case in Rwanda, this multiplier should be made in the </w:t>
            </w:r>
            <w:proofErr w:type="spellStart"/>
            <w:r w:rsidR="00847B1A">
              <w:rPr>
                <w:rFonts w:eastAsia="Arial"/>
                <w:sz w:val="16"/>
                <w:szCs w:val="16"/>
              </w:rPr>
              <w:t>MoFuSS</w:t>
            </w:r>
            <w:proofErr w:type="spellEnd"/>
            <w:r w:rsidRPr="00941A70">
              <w:rPr>
                <w:rFonts w:eastAsia="Arial"/>
                <w:sz w:val="16"/>
                <w:szCs w:val="16"/>
              </w:rPr>
              <w:t xml:space="preserve"> model numbers for that country based on the actual data, not through a weighted average.</w:t>
            </w:r>
          </w:p>
          <w:p w14:paraId="0C8F3A74" w14:textId="77777777" w:rsidR="00013F5C" w:rsidRPr="00941A70" w:rsidRDefault="00013F5C" w:rsidP="00013F5C">
            <w:pPr>
              <w:spacing w:before="40" w:after="40"/>
              <w:jc w:val="left"/>
              <w:rPr>
                <w:rFonts w:eastAsia="Arial"/>
                <w:sz w:val="16"/>
                <w:szCs w:val="16"/>
              </w:rPr>
            </w:pPr>
            <w:r w:rsidRPr="00941A70">
              <w:rPr>
                <w:rFonts w:eastAsia="Arial"/>
                <w:sz w:val="16"/>
                <w:szCs w:val="16"/>
              </w:rPr>
              <w:t xml:space="preserve"> </w:t>
            </w:r>
          </w:p>
          <w:p w14:paraId="56D85C59" w14:textId="6DC23613" w:rsidR="00013F5C" w:rsidRPr="00941A70" w:rsidRDefault="00013F5C" w:rsidP="00013F5C">
            <w:pPr>
              <w:spacing w:before="40" w:after="40"/>
              <w:jc w:val="left"/>
              <w:rPr>
                <w:rFonts w:eastAsia="Arial"/>
                <w:sz w:val="16"/>
                <w:szCs w:val="16"/>
              </w:rPr>
            </w:pPr>
            <w:r w:rsidRPr="00941A70">
              <w:rPr>
                <w:rFonts w:eastAsia="Arial"/>
                <w:sz w:val="16"/>
                <w:szCs w:val="16"/>
              </w:rPr>
              <w:t xml:space="preserve">Whilst </w:t>
            </w:r>
            <w:proofErr w:type="spellStart"/>
            <w:r w:rsidRPr="00941A70">
              <w:rPr>
                <w:rFonts w:eastAsia="Arial"/>
                <w:sz w:val="16"/>
                <w:szCs w:val="16"/>
              </w:rPr>
              <w:t>Bailis</w:t>
            </w:r>
            <w:proofErr w:type="spellEnd"/>
            <w:r w:rsidRPr="00941A70">
              <w:rPr>
                <w:rFonts w:eastAsia="Arial"/>
                <w:sz w:val="16"/>
                <w:szCs w:val="16"/>
              </w:rPr>
              <w:t xml:space="preserve"> acknowledges that ‘when carrying out detailed, country specific studies these numbers can be adjusted’ the current consequence is that public revised </w:t>
            </w:r>
            <w:proofErr w:type="spellStart"/>
            <w:r w:rsidRPr="00941A70">
              <w:rPr>
                <w:rFonts w:eastAsia="Arial"/>
                <w:sz w:val="16"/>
                <w:szCs w:val="16"/>
              </w:rPr>
              <w:t>fNRB</w:t>
            </w:r>
            <w:proofErr w:type="spellEnd"/>
            <w:r w:rsidRPr="00941A70">
              <w:rPr>
                <w:rFonts w:eastAsia="Arial"/>
                <w:sz w:val="16"/>
                <w:szCs w:val="16"/>
              </w:rPr>
              <w:t xml:space="preserve"> numbers for some countries, including Rwanda, will be based on this incorrect data input. The model should be run again for all countries with accurate inputs not generic multipliers.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55BB87E" w14:textId="77777777" w:rsidR="00013F5C" w:rsidRDefault="00013F5C" w:rsidP="00013F5C">
            <w:pPr>
              <w:spacing w:line="190" w:lineRule="exact"/>
              <w:jc w:val="left"/>
              <w:rPr>
                <w:b/>
                <w:bCs/>
                <w:sz w:val="16"/>
                <w:szCs w:val="16"/>
              </w:rPr>
            </w:pPr>
          </w:p>
        </w:tc>
      </w:tr>
      <w:tr w:rsidR="00013F5C" w14:paraId="0DE93A7F"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DE2E2B3" w14:textId="3A87D4D9" w:rsidR="00013F5C" w:rsidRPr="628A9BD2" w:rsidRDefault="002C1B9B" w:rsidP="00013F5C">
            <w:pPr>
              <w:spacing w:line="190" w:lineRule="exact"/>
              <w:jc w:val="left"/>
              <w:rPr>
                <w:b/>
                <w:bCs/>
                <w:sz w:val="16"/>
                <w:szCs w:val="16"/>
              </w:rPr>
            </w:pPr>
            <w:r>
              <w:rPr>
                <w:b/>
                <w:bCs/>
                <w:sz w:val="16"/>
                <w:szCs w:val="16"/>
              </w:rPr>
              <w:t>24</w:t>
            </w:r>
          </w:p>
        </w:tc>
        <w:tc>
          <w:tcPr>
            <w:tcW w:w="1425" w:type="dxa"/>
            <w:tcBorders>
              <w:top w:val="single" w:sz="6" w:space="0" w:color="auto"/>
              <w:left w:val="single" w:sz="6" w:space="0" w:color="auto"/>
              <w:bottom w:val="single" w:sz="6" w:space="0" w:color="auto"/>
              <w:right w:val="single" w:sz="6" w:space="0" w:color="auto"/>
            </w:tcBorders>
          </w:tcPr>
          <w:p w14:paraId="4EA1711C" w14:textId="77777777" w:rsidR="00013F5C" w:rsidRDefault="00013F5C" w:rsidP="00013F5C">
            <w:pPr>
              <w:spacing w:before="40" w:after="40"/>
              <w:jc w:val="left"/>
              <w:rPr>
                <w:rFonts w:eastAsia="Arial"/>
                <w:b/>
                <w:bCs/>
                <w:sz w:val="16"/>
                <w:szCs w:val="16"/>
              </w:rPr>
            </w:pPr>
            <w:r w:rsidRPr="635575B3">
              <w:rPr>
                <w:rFonts w:eastAsia="Arial"/>
                <w:b/>
                <w:bCs/>
                <w:sz w:val="16"/>
                <w:szCs w:val="16"/>
              </w:rPr>
              <w:t>Accounting for non-</w:t>
            </w:r>
            <w:r w:rsidRPr="6FCF148F">
              <w:rPr>
                <w:rFonts w:eastAsia="Arial"/>
                <w:b/>
                <w:bCs/>
                <w:sz w:val="16"/>
                <w:szCs w:val="16"/>
              </w:rPr>
              <w:t xml:space="preserve">energy wood </w:t>
            </w:r>
            <w:r w:rsidRPr="374B698D">
              <w:rPr>
                <w:rFonts w:eastAsia="Arial"/>
                <w:b/>
                <w:bCs/>
                <w:sz w:val="16"/>
                <w:szCs w:val="16"/>
              </w:rPr>
              <w:t>demand</w:t>
            </w:r>
          </w:p>
          <w:p w14:paraId="541F9B7B" w14:textId="227D22E7" w:rsidR="00013F5C" w:rsidRPr="44F1EF09" w:rsidRDefault="00013F5C" w:rsidP="00013F5C">
            <w:pPr>
              <w:spacing w:before="40" w:after="40" w:line="259" w:lineRule="auto"/>
              <w:jc w:val="left"/>
              <w:rPr>
                <w:rFonts w:eastAsia="Arial"/>
                <w:b/>
                <w:bCs/>
                <w:sz w:val="16"/>
                <w:szCs w:val="16"/>
              </w:rPr>
            </w:pPr>
            <w:r w:rsidRPr="374B698D">
              <w:rPr>
                <w:rFonts w:eastAsia="Arial"/>
                <w:b/>
                <w:bCs/>
                <w:sz w:val="16"/>
                <w:szCs w:val="16"/>
              </w:rPr>
              <w:t>Para 2</w:t>
            </w:r>
            <w:r w:rsidRPr="4CB8F366">
              <w:rPr>
                <w:rFonts w:eastAsia="Arial"/>
                <w:b/>
                <w:bCs/>
                <w:sz w:val="16"/>
                <w:szCs w:val="16"/>
              </w:rPr>
              <w:t>.</w:t>
            </w:r>
            <w:r w:rsidRPr="635575B3">
              <w:rPr>
                <w:rFonts w:eastAsia="Arial"/>
                <w:b/>
                <w:bCs/>
                <w:sz w:val="16"/>
                <w:szCs w:val="16"/>
              </w:rPr>
              <w:t>9</w:t>
            </w:r>
          </w:p>
        </w:tc>
        <w:tc>
          <w:tcPr>
            <w:tcW w:w="922" w:type="dxa"/>
            <w:gridSpan w:val="2"/>
            <w:tcBorders>
              <w:top w:val="single" w:sz="6" w:space="0" w:color="auto"/>
              <w:left w:val="single" w:sz="6" w:space="0" w:color="auto"/>
              <w:bottom w:val="single" w:sz="6" w:space="0" w:color="auto"/>
              <w:right w:val="single" w:sz="6" w:space="0" w:color="auto"/>
            </w:tcBorders>
          </w:tcPr>
          <w:p w14:paraId="5B9CAF33" w14:textId="35B0C8B1" w:rsidR="00013F5C" w:rsidRPr="6C6DE026" w:rsidRDefault="00013F5C" w:rsidP="00013F5C">
            <w:pPr>
              <w:spacing w:before="40" w:after="40"/>
              <w:jc w:val="left"/>
              <w:rPr>
                <w:rFonts w:eastAsia="Arial"/>
                <w:b/>
                <w:bCs/>
                <w:sz w:val="16"/>
                <w:szCs w:val="16"/>
              </w:rPr>
            </w:pPr>
            <w:r w:rsidRPr="186F6602">
              <w:rPr>
                <w:rFonts w:eastAsia="Arial"/>
                <w:b/>
                <w:bCs/>
                <w:sz w:val="16"/>
                <w:szCs w:val="16"/>
              </w:rPr>
              <w:t>41 &amp; 42</w:t>
            </w:r>
          </w:p>
        </w:tc>
        <w:tc>
          <w:tcPr>
            <w:tcW w:w="980" w:type="dxa"/>
            <w:tcBorders>
              <w:top w:val="single" w:sz="6" w:space="0" w:color="auto"/>
              <w:left w:val="single" w:sz="6" w:space="0" w:color="auto"/>
              <w:bottom w:val="single" w:sz="6" w:space="0" w:color="auto"/>
              <w:right w:val="single" w:sz="6" w:space="0" w:color="auto"/>
            </w:tcBorders>
          </w:tcPr>
          <w:p w14:paraId="24FA187D" w14:textId="5A1000CC"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2FB6B6D" w14:textId="60089AAD" w:rsidR="00013F5C" w:rsidRPr="00941A70" w:rsidRDefault="00013F5C" w:rsidP="00013F5C">
            <w:pPr>
              <w:spacing w:before="40" w:after="40"/>
              <w:jc w:val="left"/>
              <w:rPr>
                <w:rFonts w:eastAsia="Arial"/>
                <w:b/>
                <w:bCs/>
                <w:sz w:val="16"/>
                <w:szCs w:val="16"/>
              </w:rPr>
            </w:pPr>
            <w:r w:rsidRPr="00941A70">
              <w:rPr>
                <w:rFonts w:eastAsia="Arial"/>
                <w:b/>
                <w:bCs/>
                <w:sz w:val="16"/>
                <w:szCs w:val="16"/>
              </w:rPr>
              <w:t>Non-Energy wood demand</w:t>
            </w:r>
          </w:p>
          <w:p w14:paraId="7254FBDA" w14:textId="77777777" w:rsidR="00013F5C" w:rsidRPr="00941A70" w:rsidRDefault="00013F5C" w:rsidP="00013F5C">
            <w:pPr>
              <w:jc w:val="left"/>
              <w:rPr>
                <w:rFonts w:eastAsia="Arial"/>
                <w:sz w:val="16"/>
                <w:szCs w:val="16"/>
              </w:rPr>
            </w:pPr>
            <w:r w:rsidRPr="00941A70">
              <w:rPr>
                <w:rFonts w:eastAsia="Arial"/>
                <w:sz w:val="16"/>
                <w:szCs w:val="16"/>
              </w:rPr>
              <w:t xml:space="preserve">The lack of accounting for forest plantations in the model is likely to have a significant impact on </w:t>
            </w:r>
            <w:proofErr w:type="spellStart"/>
            <w:r w:rsidRPr="00941A70">
              <w:rPr>
                <w:rFonts w:eastAsia="Arial"/>
                <w:sz w:val="16"/>
                <w:szCs w:val="16"/>
              </w:rPr>
              <w:t>fNRB</w:t>
            </w:r>
            <w:proofErr w:type="spellEnd"/>
            <w:r w:rsidRPr="00941A70">
              <w:rPr>
                <w:rFonts w:eastAsia="Arial"/>
                <w:sz w:val="16"/>
                <w:szCs w:val="16"/>
              </w:rPr>
              <w:t xml:space="preserve"> numbers in countries that have clearly defined policies on forest plantations that are effectively enforced. </w:t>
            </w:r>
          </w:p>
          <w:p w14:paraId="04DD263D" w14:textId="77777777" w:rsidR="00013F5C" w:rsidRPr="00941A70" w:rsidRDefault="00013F5C" w:rsidP="00013F5C">
            <w:pPr>
              <w:jc w:val="left"/>
              <w:rPr>
                <w:rFonts w:eastAsia="Arial"/>
                <w:sz w:val="16"/>
                <w:szCs w:val="16"/>
              </w:rPr>
            </w:pPr>
          </w:p>
          <w:p w14:paraId="298A2889" w14:textId="414ED06F" w:rsidR="00013F5C" w:rsidRPr="00941A70" w:rsidRDefault="00013F5C" w:rsidP="00013F5C">
            <w:pPr>
              <w:jc w:val="left"/>
              <w:rPr>
                <w:rFonts w:eastAsia="Arial"/>
                <w:sz w:val="16"/>
                <w:szCs w:val="16"/>
              </w:rPr>
            </w:pPr>
            <w:r w:rsidRPr="00941A70">
              <w:rPr>
                <w:rFonts w:eastAsia="Arial"/>
                <w:sz w:val="16"/>
                <w:szCs w:val="16"/>
              </w:rPr>
              <w:t>For example, Rwanda has clear legislation on types of protected forest areas at the state, regional and district level which appears not to be being accounted for (</w:t>
            </w:r>
            <w:hyperlink r:id="rId18" w:history="1">
              <w:r w:rsidRPr="00941A70">
                <w:rPr>
                  <w:rStyle w:val="Hyperlink"/>
                  <w:rFonts w:eastAsia="Arial"/>
                  <w:color w:val="auto"/>
                  <w:sz w:val="16"/>
                  <w:szCs w:val="16"/>
                </w:rPr>
                <w:t>Law Determining Management and Utilisation of Forests in Rwanda.)</w:t>
              </w:r>
            </w:hyperlink>
            <w:r w:rsidRPr="00941A70">
              <w:rPr>
                <w:rFonts w:eastAsia="Arial"/>
                <w:sz w:val="16"/>
                <w:szCs w:val="16"/>
              </w:rPr>
              <w:t xml:space="preserve"> These areas are protected locally and not chopped for fuel consumption with detailed national regulations in place on illegal felling. These areas are therefore inaccessible for the population and should not be accounted for when considering fuelwood supply. Including these areas is inaccurate as there are inaccessible for the population.</w:t>
            </w:r>
          </w:p>
        </w:tc>
        <w:tc>
          <w:tcPr>
            <w:tcW w:w="4253" w:type="dxa"/>
            <w:tcBorders>
              <w:top w:val="single" w:sz="6" w:space="0" w:color="auto"/>
              <w:left w:val="single" w:sz="6" w:space="0" w:color="auto"/>
              <w:bottom w:val="single" w:sz="6" w:space="0" w:color="auto"/>
              <w:right w:val="single" w:sz="6" w:space="0" w:color="auto"/>
            </w:tcBorders>
          </w:tcPr>
          <w:p w14:paraId="079EFE15" w14:textId="092B6693" w:rsidR="00013F5C" w:rsidRPr="00941A70" w:rsidRDefault="00013F5C" w:rsidP="00013F5C">
            <w:pPr>
              <w:jc w:val="left"/>
              <w:rPr>
                <w:rFonts w:eastAsia="Arial"/>
                <w:sz w:val="16"/>
                <w:szCs w:val="16"/>
              </w:rPr>
            </w:pPr>
            <w:r w:rsidRPr="00941A70">
              <w:rPr>
                <w:rFonts w:eastAsia="Arial"/>
                <w:sz w:val="16"/>
                <w:szCs w:val="16"/>
              </w:rPr>
              <w:t xml:space="preserve">Stakeholders and Host Country governments should be able to present evidence on the status of forest plantations, and their resulting accessibility, at the national level and the quality of this evidence should be assess with a view to including this in revised </w:t>
            </w:r>
            <w:proofErr w:type="spellStart"/>
            <w:r w:rsidRPr="00941A70">
              <w:rPr>
                <w:rFonts w:eastAsia="Arial"/>
                <w:sz w:val="16"/>
                <w:szCs w:val="16"/>
              </w:rPr>
              <w:t>fNRB</w:t>
            </w:r>
            <w:proofErr w:type="spellEnd"/>
            <w:r w:rsidRPr="00941A70">
              <w:rPr>
                <w:rFonts w:eastAsia="Arial"/>
                <w:sz w:val="16"/>
                <w:szCs w:val="16"/>
              </w:rPr>
              <w:t xml:space="preserve"> numbers.</w:t>
            </w:r>
          </w:p>
          <w:p w14:paraId="7986113D" w14:textId="77777777" w:rsidR="00013F5C" w:rsidRPr="00941A70" w:rsidRDefault="00013F5C" w:rsidP="00013F5C">
            <w:pPr>
              <w:jc w:val="left"/>
              <w:rPr>
                <w:rFonts w:eastAsia="Arial"/>
                <w:sz w:val="16"/>
                <w:szCs w:val="16"/>
              </w:rPr>
            </w:pPr>
            <w:r w:rsidRPr="00941A70">
              <w:rPr>
                <w:rFonts w:eastAsia="Arial"/>
                <w:sz w:val="16"/>
                <w:szCs w:val="16"/>
              </w:rPr>
              <w:t xml:space="preserve"> </w:t>
            </w:r>
          </w:p>
          <w:p w14:paraId="3441E14B" w14:textId="27505868" w:rsidR="00013F5C" w:rsidRPr="00941A70" w:rsidRDefault="00013F5C" w:rsidP="00013F5C">
            <w:pPr>
              <w:jc w:val="left"/>
              <w:rPr>
                <w:rFonts w:eastAsia="Arial"/>
                <w:sz w:val="16"/>
                <w:szCs w:val="16"/>
              </w:rPr>
            </w:pPr>
            <w:r w:rsidRPr="00941A70">
              <w:rPr>
                <w:rFonts w:eastAsia="Arial"/>
                <w:sz w:val="16"/>
                <w:szCs w:val="16"/>
              </w:rPr>
              <w:t xml:space="preserve">Rwanda has been used as an example; however, each country should be reviewed </w:t>
            </w:r>
            <w:proofErr w:type="gramStart"/>
            <w:r w:rsidRPr="00941A70">
              <w:rPr>
                <w:rFonts w:eastAsia="Arial"/>
                <w:sz w:val="16"/>
                <w:szCs w:val="16"/>
              </w:rPr>
              <w:t>individually</w:t>
            </w:r>
            <w:proofErr w:type="gramEnd"/>
            <w:r w:rsidRPr="00941A70">
              <w:rPr>
                <w:rFonts w:eastAsia="Arial"/>
                <w:sz w:val="16"/>
                <w:szCs w:val="16"/>
              </w:rPr>
              <w:t xml:space="preserve"> and results should be used to input into the model.</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CC5B3" w14:textId="77777777" w:rsidR="00013F5C" w:rsidRDefault="00013F5C" w:rsidP="00013F5C">
            <w:pPr>
              <w:spacing w:line="190" w:lineRule="exact"/>
              <w:jc w:val="left"/>
              <w:rPr>
                <w:b/>
                <w:bCs/>
                <w:sz w:val="16"/>
                <w:szCs w:val="16"/>
              </w:rPr>
            </w:pPr>
          </w:p>
        </w:tc>
      </w:tr>
      <w:tr w:rsidR="00013F5C" w14:paraId="03A1DDC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1826AF7D" w14:textId="28CE261F" w:rsidR="00013F5C" w:rsidRPr="7FA2EAEF" w:rsidRDefault="002C1B9B" w:rsidP="00013F5C">
            <w:pPr>
              <w:spacing w:line="190" w:lineRule="exact"/>
              <w:jc w:val="left"/>
              <w:rPr>
                <w:b/>
                <w:bCs/>
                <w:sz w:val="16"/>
                <w:szCs w:val="16"/>
              </w:rPr>
            </w:pPr>
            <w:r>
              <w:rPr>
                <w:b/>
                <w:bCs/>
                <w:sz w:val="16"/>
                <w:szCs w:val="16"/>
              </w:rPr>
              <w:lastRenderedPageBreak/>
              <w:t>25</w:t>
            </w:r>
          </w:p>
        </w:tc>
        <w:tc>
          <w:tcPr>
            <w:tcW w:w="1425" w:type="dxa"/>
            <w:tcBorders>
              <w:top w:val="single" w:sz="6" w:space="0" w:color="auto"/>
              <w:left w:val="single" w:sz="6" w:space="0" w:color="auto"/>
              <w:bottom w:val="single" w:sz="6" w:space="0" w:color="auto"/>
              <w:right w:val="single" w:sz="6" w:space="0" w:color="auto"/>
            </w:tcBorders>
          </w:tcPr>
          <w:p w14:paraId="0007D386" w14:textId="77777777" w:rsidR="00013F5C" w:rsidRDefault="00013F5C" w:rsidP="00013F5C">
            <w:pPr>
              <w:spacing w:before="40" w:after="40"/>
              <w:jc w:val="left"/>
              <w:rPr>
                <w:rFonts w:eastAsia="Arial"/>
                <w:b/>
                <w:bCs/>
                <w:sz w:val="16"/>
                <w:szCs w:val="16"/>
              </w:rPr>
            </w:pPr>
            <w:r w:rsidRPr="635575B3">
              <w:rPr>
                <w:rFonts w:eastAsia="Arial"/>
                <w:b/>
                <w:bCs/>
                <w:sz w:val="16"/>
                <w:szCs w:val="16"/>
              </w:rPr>
              <w:t>Accounting for non-</w:t>
            </w:r>
            <w:r w:rsidRPr="6FCF148F">
              <w:rPr>
                <w:rFonts w:eastAsia="Arial"/>
                <w:b/>
                <w:bCs/>
                <w:sz w:val="16"/>
                <w:szCs w:val="16"/>
              </w:rPr>
              <w:t xml:space="preserve">energy wood </w:t>
            </w:r>
            <w:r w:rsidRPr="374B698D">
              <w:rPr>
                <w:rFonts w:eastAsia="Arial"/>
                <w:b/>
                <w:bCs/>
                <w:sz w:val="16"/>
                <w:szCs w:val="16"/>
              </w:rPr>
              <w:t>demand</w:t>
            </w:r>
          </w:p>
          <w:p w14:paraId="1F271C43" w14:textId="474A680A" w:rsidR="00013F5C" w:rsidRPr="73EA94FA" w:rsidRDefault="00013F5C" w:rsidP="00013F5C">
            <w:pPr>
              <w:spacing w:before="40" w:after="40"/>
              <w:jc w:val="left"/>
              <w:rPr>
                <w:rFonts w:eastAsia="Arial"/>
                <w:b/>
                <w:bCs/>
                <w:sz w:val="16"/>
                <w:szCs w:val="16"/>
              </w:rPr>
            </w:pPr>
            <w:r w:rsidRPr="374B698D">
              <w:rPr>
                <w:rFonts w:eastAsia="Arial"/>
                <w:b/>
                <w:bCs/>
                <w:sz w:val="16"/>
                <w:szCs w:val="16"/>
              </w:rPr>
              <w:t>Para 2</w:t>
            </w:r>
            <w:r w:rsidRPr="4CB8F366">
              <w:rPr>
                <w:rFonts w:eastAsia="Arial"/>
                <w:b/>
                <w:bCs/>
                <w:sz w:val="16"/>
                <w:szCs w:val="16"/>
              </w:rPr>
              <w:t>.</w:t>
            </w:r>
            <w:r w:rsidRPr="635575B3">
              <w:rPr>
                <w:rFonts w:eastAsia="Arial"/>
                <w:b/>
                <w:bCs/>
                <w:sz w:val="16"/>
                <w:szCs w:val="16"/>
              </w:rPr>
              <w:t>9</w:t>
            </w:r>
          </w:p>
        </w:tc>
        <w:tc>
          <w:tcPr>
            <w:tcW w:w="922" w:type="dxa"/>
            <w:gridSpan w:val="2"/>
            <w:tcBorders>
              <w:top w:val="single" w:sz="6" w:space="0" w:color="auto"/>
              <w:left w:val="single" w:sz="6" w:space="0" w:color="auto"/>
              <w:bottom w:val="single" w:sz="6" w:space="0" w:color="auto"/>
              <w:right w:val="single" w:sz="6" w:space="0" w:color="auto"/>
            </w:tcBorders>
          </w:tcPr>
          <w:p w14:paraId="3A74059D" w14:textId="530C06B3" w:rsidR="00013F5C" w:rsidRPr="186F6602" w:rsidRDefault="00013F5C" w:rsidP="00013F5C">
            <w:pPr>
              <w:spacing w:before="40" w:after="40"/>
              <w:jc w:val="left"/>
              <w:rPr>
                <w:rFonts w:eastAsia="Arial"/>
                <w:b/>
                <w:bCs/>
                <w:sz w:val="16"/>
                <w:szCs w:val="16"/>
              </w:rPr>
            </w:pPr>
            <w:r w:rsidRPr="186F6602">
              <w:rPr>
                <w:rFonts w:eastAsia="Arial"/>
                <w:b/>
                <w:bCs/>
                <w:sz w:val="16"/>
                <w:szCs w:val="16"/>
              </w:rPr>
              <w:t>41 &amp; 42</w:t>
            </w:r>
          </w:p>
        </w:tc>
        <w:tc>
          <w:tcPr>
            <w:tcW w:w="980" w:type="dxa"/>
            <w:tcBorders>
              <w:top w:val="single" w:sz="6" w:space="0" w:color="auto"/>
              <w:left w:val="single" w:sz="6" w:space="0" w:color="auto"/>
              <w:bottom w:val="single" w:sz="6" w:space="0" w:color="auto"/>
              <w:right w:val="single" w:sz="6" w:space="0" w:color="auto"/>
            </w:tcBorders>
          </w:tcPr>
          <w:p w14:paraId="1008389F" w14:textId="6E6BF450" w:rsidR="00013F5C" w:rsidRPr="186F6602" w:rsidRDefault="00013F5C" w:rsidP="00013F5C">
            <w:pPr>
              <w:spacing w:before="40" w:after="40"/>
              <w:jc w:val="left"/>
              <w:rPr>
                <w:rFonts w:eastAsia="Arial"/>
                <w:b/>
                <w:bCs/>
                <w:sz w:val="16"/>
                <w:szCs w:val="16"/>
              </w:rPr>
            </w:pPr>
            <w:proofErr w:type="spellStart"/>
            <w:r w:rsidRPr="06764C2B">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49510BA"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Non-Energy wood demand</w:t>
            </w:r>
          </w:p>
          <w:p w14:paraId="042E7F24" w14:textId="77777777" w:rsidR="00013F5C" w:rsidRDefault="00013F5C" w:rsidP="00013F5C">
            <w:pPr>
              <w:spacing w:before="40" w:after="40"/>
              <w:jc w:val="left"/>
              <w:rPr>
                <w:rFonts w:eastAsia="Arial"/>
                <w:sz w:val="16"/>
                <w:szCs w:val="16"/>
              </w:rPr>
            </w:pPr>
          </w:p>
          <w:p w14:paraId="3F57A911" w14:textId="2EA85AC9" w:rsidR="00013F5C" w:rsidRDefault="00013F5C" w:rsidP="00013F5C">
            <w:pPr>
              <w:spacing w:before="40" w:after="40"/>
              <w:jc w:val="left"/>
              <w:rPr>
                <w:rFonts w:eastAsia="Arial"/>
                <w:sz w:val="16"/>
                <w:szCs w:val="16"/>
              </w:rPr>
            </w:pPr>
            <w:r w:rsidRPr="06764C2B">
              <w:rPr>
                <w:rFonts w:eastAsia="Arial"/>
                <w:sz w:val="16"/>
                <w:szCs w:val="16"/>
              </w:rPr>
              <w:t xml:space="preserve">The para #41 and #42 justifies the exclusions of non-energy wood demand for applications like building materials and timber exports citing the reasons such as non-availability of the forest plantation maps, minimal inaccuracies of non-consideration of non-energy biomass consumption etc. However, the research team has not clarified that how they ensured that exclusion of forestry plantations from the 2010 NASA data of Global above Aboveground and Belowground Biomass stocks given the challenges in the accessing the forest plantation maps. If in case the </w:t>
            </w:r>
            <w:proofErr w:type="spellStart"/>
            <w:r w:rsidR="00847B1A">
              <w:rPr>
                <w:rFonts w:eastAsia="Arial"/>
                <w:sz w:val="16"/>
                <w:szCs w:val="16"/>
              </w:rPr>
              <w:t>MoFuSS</w:t>
            </w:r>
            <w:proofErr w:type="spellEnd"/>
            <w:r w:rsidRPr="06764C2B">
              <w:rPr>
                <w:rFonts w:eastAsia="Arial"/>
                <w:sz w:val="16"/>
                <w:szCs w:val="16"/>
              </w:rPr>
              <w:t xml:space="preserve"> does not exclude the forest plantations in its initial biomass stocks, then the consumption of non-energy wood demand should also be considered in the </w:t>
            </w:r>
            <w:proofErr w:type="spellStart"/>
            <w:r w:rsidR="00847B1A">
              <w:rPr>
                <w:rFonts w:eastAsia="Arial"/>
                <w:sz w:val="16"/>
                <w:szCs w:val="16"/>
              </w:rPr>
              <w:t>MoFuSS</w:t>
            </w:r>
            <w:proofErr w:type="spellEnd"/>
            <w:r w:rsidRPr="06764C2B">
              <w:rPr>
                <w:rFonts w:eastAsia="Arial"/>
                <w:sz w:val="16"/>
                <w:szCs w:val="16"/>
              </w:rPr>
              <w:t xml:space="preserve"> model.</w:t>
            </w:r>
          </w:p>
          <w:p w14:paraId="2670E469" w14:textId="7CE0937C" w:rsidR="00013F5C" w:rsidRPr="00941A70" w:rsidRDefault="00013F5C" w:rsidP="00013F5C">
            <w:pPr>
              <w:spacing w:before="40" w:after="40"/>
              <w:jc w:val="left"/>
              <w:rPr>
                <w:rFonts w:eastAsia="Arial"/>
                <w:b/>
                <w:bCs/>
                <w:sz w:val="16"/>
                <w:szCs w:val="16"/>
              </w:rPr>
            </w:pPr>
            <w:r w:rsidRPr="06764C2B">
              <w:rPr>
                <w:rFonts w:eastAsia="Arial"/>
                <w:sz w:val="16"/>
                <w:szCs w:val="16"/>
              </w:rPr>
              <w:t>Further para # 42 quotes an example of South Africa, wherein despite with mature forestry industries the plantations are about 2% of country’s total area. This perspective is deceptive, since the plantation area constitutes around ~18% of South Africa’s total forest area (Natural + Plantation). Also, there are countries in SSA such as Burundi, Uganda, Rwanda etc. having considerable share of forestry plantation.</w:t>
            </w:r>
          </w:p>
        </w:tc>
        <w:tc>
          <w:tcPr>
            <w:tcW w:w="4253" w:type="dxa"/>
            <w:tcBorders>
              <w:top w:val="single" w:sz="6" w:space="0" w:color="auto"/>
              <w:left w:val="single" w:sz="6" w:space="0" w:color="auto"/>
              <w:bottom w:val="single" w:sz="6" w:space="0" w:color="auto"/>
              <w:right w:val="single" w:sz="6" w:space="0" w:color="auto"/>
            </w:tcBorders>
          </w:tcPr>
          <w:p w14:paraId="17AE6156" w14:textId="6A690C0D" w:rsidR="00013F5C" w:rsidRDefault="00013F5C" w:rsidP="00013F5C">
            <w:pPr>
              <w:rPr>
                <w:rFonts w:eastAsia="Arial"/>
                <w:sz w:val="16"/>
                <w:szCs w:val="16"/>
              </w:rPr>
            </w:pPr>
            <w:r>
              <w:rPr>
                <w:rFonts w:eastAsia="Arial"/>
                <w:sz w:val="16"/>
                <w:szCs w:val="16"/>
              </w:rPr>
              <w:t>We request clarification</w:t>
            </w:r>
            <w:r w:rsidRPr="06764C2B">
              <w:rPr>
                <w:rFonts w:eastAsia="Arial"/>
                <w:sz w:val="16"/>
                <w:szCs w:val="16"/>
              </w:rPr>
              <w:t xml:space="preserve"> </w:t>
            </w:r>
            <w:r>
              <w:rPr>
                <w:rFonts w:eastAsia="Arial"/>
                <w:sz w:val="16"/>
                <w:szCs w:val="16"/>
              </w:rPr>
              <w:t xml:space="preserve">of the </w:t>
            </w:r>
            <w:r w:rsidRPr="06764C2B">
              <w:rPr>
                <w:rFonts w:eastAsia="Arial"/>
                <w:sz w:val="16"/>
                <w:szCs w:val="16"/>
              </w:rPr>
              <w:t xml:space="preserve">approach adopted for demarcation of natural forest and plantations in the 2010 NASA biomass map or else the non-energy wood demand to be accounted in the </w:t>
            </w:r>
            <w:proofErr w:type="spellStart"/>
            <w:r w:rsidR="00847B1A">
              <w:rPr>
                <w:rFonts w:eastAsia="Arial"/>
                <w:sz w:val="16"/>
                <w:szCs w:val="16"/>
              </w:rPr>
              <w:t>MoFuSS</w:t>
            </w:r>
            <w:proofErr w:type="spellEnd"/>
            <w:r w:rsidRPr="06764C2B">
              <w:rPr>
                <w:rFonts w:eastAsia="Arial"/>
                <w:sz w:val="16"/>
                <w:szCs w:val="16"/>
              </w:rPr>
              <w:t xml:space="preserve"> model.</w:t>
            </w:r>
          </w:p>
          <w:p w14:paraId="53F74FE8" w14:textId="77777777" w:rsidR="00013F5C" w:rsidRPr="00941A70" w:rsidRDefault="00013F5C" w:rsidP="00013F5C">
            <w:pPr>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1C16739" w14:textId="77777777" w:rsidR="00013F5C" w:rsidRDefault="00013F5C" w:rsidP="00013F5C">
            <w:pPr>
              <w:spacing w:line="190" w:lineRule="exact"/>
              <w:jc w:val="left"/>
              <w:rPr>
                <w:b/>
                <w:bCs/>
                <w:sz w:val="16"/>
                <w:szCs w:val="16"/>
              </w:rPr>
            </w:pPr>
          </w:p>
        </w:tc>
      </w:tr>
      <w:tr w:rsidR="00013F5C" w14:paraId="08C425E8"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309E6AB" w14:textId="7A50E497" w:rsidR="00013F5C" w:rsidRPr="628A9BD2" w:rsidRDefault="002C1B9B" w:rsidP="00013F5C">
            <w:pPr>
              <w:spacing w:line="190" w:lineRule="exact"/>
              <w:jc w:val="left"/>
              <w:rPr>
                <w:b/>
                <w:bCs/>
                <w:sz w:val="16"/>
                <w:szCs w:val="16"/>
              </w:rPr>
            </w:pPr>
            <w:r>
              <w:rPr>
                <w:b/>
                <w:bCs/>
                <w:sz w:val="16"/>
                <w:szCs w:val="16"/>
              </w:rPr>
              <w:lastRenderedPageBreak/>
              <w:t>26</w:t>
            </w:r>
          </w:p>
        </w:tc>
        <w:tc>
          <w:tcPr>
            <w:tcW w:w="1425" w:type="dxa"/>
            <w:tcBorders>
              <w:top w:val="single" w:sz="6" w:space="0" w:color="auto"/>
              <w:left w:val="single" w:sz="6" w:space="0" w:color="auto"/>
              <w:bottom w:val="single" w:sz="6" w:space="0" w:color="auto"/>
              <w:right w:val="single" w:sz="6" w:space="0" w:color="auto"/>
            </w:tcBorders>
          </w:tcPr>
          <w:p w14:paraId="423EBB55" w14:textId="6B8AEAD6" w:rsidR="00013F5C" w:rsidRDefault="00013F5C" w:rsidP="00013F5C">
            <w:pPr>
              <w:spacing w:before="40" w:after="40"/>
              <w:jc w:val="left"/>
              <w:rPr>
                <w:rFonts w:eastAsia="Arial"/>
                <w:b/>
                <w:bCs/>
                <w:sz w:val="16"/>
                <w:szCs w:val="16"/>
              </w:rPr>
            </w:pPr>
            <w:r w:rsidRPr="73EA94FA">
              <w:rPr>
                <w:rFonts w:eastAsia="Arial"/>
                <w:b/>
                <w:bCs/>
                <w:sz w:val="16"/>
                <w:szCs w:val="16"/>
              </w:rPr>
              <w:t>2.9 Accounting for non-energy wood demand and timber plantations</w:t>
            </w:r>
            <w:r w:rsidRPr="1167A8AB">
              <w:rPr>
                <w:rFonts w:eastAsia="Arial"/>
                <w:b/>
                <w:bCs/>
                <w:sz w:val="16"/>
                <w:szCs w:val="16"/>
              </w:rPr>
              <w:t>,</w:t>
            </w:r>
            <w:r w:rsidRPr="236DBB3B">
              <w:rPr>
                <w:rFonts w:eastAsia="Arial"/>
                <w:b/>
                <w:bCs/>
                <w:sz w:val="16"/>
                <w:szCs w:val="16"/>
              </w:rPr>
              <w:t xml:space="preserve"> </w:t>
            </w:r>
            <w:r w:rsidRPr="1167A8AB">
              <w:rPr>
                <w:rFonts w:eastAsia="Arial"/>
                <w:b/>
                <w:bCs/>
                <w:sz w:val="16"/>
                <w:szCs w:val="16"/>
              </w:rPr>
              <w:t>Para</w:t>
            </w:r>
            <w:r w:rsidRPr="63A5F07E">
              <w:rPr>
                <w:rFonts w:eastAsia="Arial"/>
                <w:b/>
                <w:bCs/>
                <w:sz w:val="16"/>
                <w:szCs w:val="16"/>
              </w:rPr>
              <w:t xml:space="preserve"> 43</w:t>
            </w:r>
          </w:p>
          <w:p w14:paraId="4DE2E45E" w14:textId="77777777" w:rsidR="00013F5C" w:rsidRPr="3C45B80A" w:rsidRDefault="00013F5C" w:rsidP="00013F5C">
            <w:pPr>
              <w:spacing w:before="40" w:after="40" w:line="259" w:lineRule="auto"/>
              <w:jc w:val="left"/>
              <w:rPr>
                <w:rFonts w:eastAsia="Arial"/>
                <w:b/>
                <w:bCs/>
                <w:sz w:val="16"/>
                <w:szCs w:val="16"/>
              </w:rPr>
            </w:pPr>
          </w:p>
        </w:tc>
        <w:tc>
          <w:tcPr>
            <w:tcW w:w="922" w:type="dxa"/>
            <w:gridSpan w:val="2"/>
            <w:tcBorders>
              <w:top w:val="single" w:sz="6" w:space="0" w:color="auto"/>
              <w:left w:val="single" w:sz="6" w:space="0" w:color="auto"/>
              <w:bottom w:val="single" w:sz="6" w:space="0" w:color="auto"/>
              <w:right w:val="single" w:sz="6" w:space="0" w:color="auto"/>
            </w:tcBorders>
          </w:tcPr>
          <w:p w14:paraId="145FD779" w14:textId="2AF66E7F" w:rsidR="00013F5C" w:rsidRPr="08F79DBD" w:rsidRDefault="00013F5C" w:rsidP="00013F5C">
            <w:pPr>
              <w:spacing w:before="40" w:after="40"/>
              <w:jc w:val="left"/>
              <w:rPr>
                <w:rFonts w:eastAsia="Arial"/>
                <w:b/>
                <w:bCs/>
                <w:sz w:val="16"/>
                <w:szCs w:val="16"/>
              </w:rPr>
            </w:pPr>
            <w:r w:rsidRPr="186F6602">
              <w:rPr>
                <w:rFonts w:eastAsia="Arial"/>
                <w:b/>
                <w:bCs/>
                <w:sz w:val="16"/>
                <w:szCs w:val="16"/>
              </w:rPr>
              <w:t>43</w:t>
            </w:r>
          </w:p>
        </w:tc>
        <w:tc>
          <w:tcPr>
            <w:tcW w:w="980" w:type="dxa"/>
            <w:tcBorders>
              <w:top w:val="single" w:sz="6" w:space="0" w:color="auto"/>
              <w:left w:val="single" w:sz="6" w:space="0" w:color="auto"/>
              <w:bottom w:val="single" w:sz="6" w:space="0" w:color="auto"/>
              <w:right w:val="single" w:sz="6" w:space="0" w:color="auto"/>
            </w:tcBorders>
          </w:tcPr>
          <w:p w14:paraId="3BD9F0F5" w14:textId="4AF9B9B4"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95617BD"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Residential Biomass Consumption</w:t>
            </w:r>
          </w:p>
          <w:p w14:paraId="32FDC318" w14:textId="47ADA7D5" w:rsidR="00013F5C" w:rsidRPr="186F6602" w:rsidRDefault="00013F5C" w:rsidP="00013F5C">
            <w:pPr>
              <w:jc w:val="left"/>
              <w:rPr>
                <w:rFonts w:eastAsia="Arial"/>
                <w:sz w:val="16"/>
                <w:szCs w:val="16"/>
              </w:rPr>
            </w:pPr>
            <w:r w:rsidRPr="00941A70">
              <w:rPr>
                <w:rFonts w:eastAsia="Arial"/>
                <w:sz w:val="16"/>
                <w:szCs w:val="16"/>
              </w:rPr>
              <w:t>Regionalized wood usage estimates are not appropriate in context where accurate government data exists. In addition, where project developers have submitted data from baseline KPTs, these should also be considered to avoid a standardised baseline biomass consumption figure being applied to all sub-Saharan Africa.</w:t>
            </w:r>
          </w:p>
        </w:tc>
        <w:tc>
          <w:tcPr>
            <w:tcW w:w="4253" w:type="dxa"/>
            <w:tcBorders>
              <w:top w:val="single" w:sz="6" w:space="0" w:color="auto"/>
              <w:left w:val="single" w:sz="6" w:space="0" w:color="auto"/>
              <w:bottom w:val="single" w:sz="6" w:space="0" w:color="auto"/>
              <w:right w:val="single" w:sz="6" w:space="0" w:color="auto"/>
            </w:tcBorders>
          </w:tcPr>
          <w:p w14:paraId="04693192" w14:textId="3598CF01" w:rsidR="00013F5C" w:rsidRPr="00941A70" w:rsidRDefault="00013F5C" w:rsidP="00013F5C">
            <w:pPr>
              <w:jc w:val="left"/>
              <w:rPr>
                <w:rFonts w:eastAsia="Arial"/>
                <w:sz w:val="16"/>
                <w:szCs w:val="16"/>
              </w:rPr>
            </w:pPr>
            <w:r w:rsidRPr="00941A70">
              <w:rPr>
                <w:rFonts w:eastAsia="Arial"/>
                <w:sz w:val="16"/>
                <w:szCs w:val="16"/>
              </w:rPr>
              <w:t xml:space="preserve">An additional round of published </w:t>
            </w:r>
            <w:proofErr w:type="spellStart"/>
            <w:r w:rsidR="00847B1A">
              <w:rPr>
                <w:rFonts w:eastAsia="Arial"/>
                <w:sz w:val="16"/>
                <w:szCs w:val="16"/>
              </w:rPr>
              <w:t>MoFuSS</w:t>
            </w:r>
            <w:proofErr w:type="spellEnd"/>
            <w:r w:rsidRPr="00941A70">
              <w:rPr>
                <w:rFonts w:eastAsia="Arial"/>
                <w:sz w:val="16"/>
                <w:szCs w:val="16"/>
              </w:rPr>
              <w:t xml:space="preserve"> numbers is needed that must account for a combination of evidence from recent KPTs and other surveys, often commissioned by Governments themselves, at the individual country level when considering baseline biomass consumption by households.</w:t>
            </w:r>
          </w:p>
          <w:p w14:paraId="068E6E6C" w14:textId="77777777" w:rsidR="00013F5C" w:rsidRPr="00941A70" w:rsidRDefault="00013F5C" w:rsidP="00013F5C">
            <w:pPr>
              <w:jc w:val="left"/>
              <w:rPr>
                <w:rFonts w:eastAsia="Arial"/>
                <w:sz w:val="16"/>
                <w:szCs w:val="16"/>
              </w:rPr>
            </w:pPr>
          </w:p>
          <w:p w14:paraId="1F9B1481" w14:textId="31F2C683" w:rsidR="00013F5C" w:rsidRPr="00277178" w:rsidRDefault="00013F5C" w:rsidP="00013F5C">
            <w:pPr>
              <w:jc w:val="left"/>
              <w:rPr>
                <w:rFonts w:eastAsia="Arial"/>
                <w:sz w:val="16"/>
                <w:szCs w:val="16"/>
              </w:rPr>
            </w:pPr>
            <w:r w:rsidRPr="00941A70">
              <w:rPr>
                <w:rFonts w:eastAsia="Arial"/>
                <w:sz w:val="16"/>
                <w:szCs w:val="16"/>
              </w:rPr>
              <w:t xml:space="preserve">We call for a </w:t>
            </w:r>
            <w:r w:rsidRPr="00277178">
              <w:rPr>
                <w:rFonts w:eastAsia="Arial"/>
                <w:sz w:val="16"/>
                <w:szCs w:val="16"/>
              </w:rPr>
              <w:t xml:space="preserve">stronger role for Host Country governments, and the use of national </w:t>
            </w:r>
            <w:proofErr w:type="spellStart"/>
            <w:r w:rsidRPr="00277178">
              <w:rPr>
                <w:rFonts w:eastAsia="Arial"/>
                <w:sz w:val="16"/>
                <w:szCs w:val="16"/>
              </w:rPr>
              <w:t>woodfuel</w:t>
            </w:r>
            <w:proofErr w:type="spellEnd"/>
            <w:r w:rsidRPr="00277178">
              <w:rPr>
                <w:rFonts w:eastAsia="Arial"/>
                <w:sz w:val="16"/>
                <w:szCs w:val="16"/>
              </w:rPr>
              <w:t xml:space="preserve"> consumption data.</w:t>
            </w:r>
          </w:p>
          <w:p w14:paraId="529F56B9" w14:textId="77777777" w:rsidR="00013F5C" w:rsidRPr="00277178" w:rsidRDefault="00013F5C" w:rsidP="00013F5C">
            <w:pPr>
              <w:jc w:val="left"/>
              <w:rPr>
                <w:rFonts w:eastAsia="Arial"/>
                <w:sz w:val="16"/>
                <w:szCs w:val="16"/>
              </w:rPr>
            </w:pPr>
            <w:r w:rsidRPr="00277178">
              <w:rPr>
                <w:rFonts w:eastAsia="Arial"/>
                <w:sz w:val="16"/>
                <w:szCs w:val="16"/>
              </w:rPr>
              <w:t xml:space="preserve"> </w:t>
            </w:r>
          </w:p>
          <w:p w14:paraId="4C322C43" w14:textId="45CEE93F" w:rsidR="00013F5C" w:rsidRPr="186F6602" w:rsidRDefault="00013F5C" w:rsidP="00013F5C">
            <w:pPr>
              <w:jc w:val="left"/>
              <w:rPr>
                <w:rFonts w:eastAsia="Arial"/>
                <w:sz w:val="16"/>
                <w:szCs w:val="16"/>
              </w:rPr>
            </w:pPr>
            <w:r w:rsidRPr="008D3031">
              <w:rPr>
                <w:rFonts w:eastAsia="Arial"/>
                <w:sz w:val="16"/>
                <w:szCs w:val="16"/>
              </w:rPr>
              <w:t>Specifically, the Government of Rwanda has conducted credible and accurate surveys (with funding from the EU) of biomass consumption across the country as recently as 2020 (Ministry of Infrastructure/Ministry of Finance ‘National Survey on Cooking Fuel Energy and Technologies in Households, Commercial and Public Institutions) which calculated household biomass consumption to be considerably higher than the baseline of 400KG used in these published numbers</w:t>
            </w:r>
            <w:r w:rsidRPr="00277178">
              <w:rPr>
                <w:rFonts w:eastAsia="Arial"/>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BD8D730" w14:textId="77777777" w:rsidR="00013F5C" w:rsidRDefault="00013F5C" w:rsidP="00013F5C">
            <w:pPr>
              <w:spacing w:line="190" w:lineRule="exact"/>
              <w:jc w:val="left"/>
              <w:rPr>
                <w:b/>
                <w:bCs/>
                <w:sz w:val="16"/>
                <w:szCs w:val="16"/>
              </w:rPr>
            </w:pPr>
          </w:p>
        </w:tc>
      </w:tr>
      <w:tr w:rsidR="00013F5C" w14:paraId="0D77DCE6"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986270E" w14:textId="1D0291A9" w:rsidR="00013F5C" w:rsidRPr="628A9BD2" w:rsidRDefault="002C1B9B" w:rsidP="00013F5C">
            <w:pPr>
              <w:spacing w:line="190" w:lineRule="exact"/>
              <w:jc w:val="left"/>
              <w:rPr>
                <w:b/>
                <w:bCs/>
                <w:sz w:val="16"/>
                <w:szCs w:val="16"/>
              </w:rPr>
            </w:pPr>
            <w:r>
              <w:rPr>
                <w:b/>
                <w:bCs/>
                <w:sz w:val="16"/>
                <w:szCs w:val="16"/>
              </w:rPr>
              <w:t>27</w:t>
            </w:r>
          </w:p>
        </w:tc>
        <w:tc>
          <w:tcPr>
            <w:tcW w:w="1425" w:type="dxa"/>
            <w:tcBorders>
              <w:top w:val="single" w:sz="6" w:space="0" w:color="auto"/>
              <w:left w:val="single" w:sz="6" w:space="0" w:color="auto"/>
              <w:bottom w:val="single" w:sz="6" w:space="0" w:color="auto"/>
              <w:right w:val="single" w:sz="6" w:space="0" w:color="auto"/>
            </w:tcBorders>
          </w:tcPr>
          <w:p w14:paraId="7A94FF6D" w14:textId="3FF5D85A" w:rsidR="00013F5C" w:rsidRPr="17BD3E6F" w:rsidRDefault="00013F5C" w:rsidP="00013F5C">
            <w:pPr>
              <w:keepLines/>
              <w:spacing w:before="40" w:after="40" w:line="190" w:lineRule="exact"/>
              <w:jc w:val="left"/>
              <w:rPr>
                <w:b/>
                <w:bCs/>
                <w:sz w:val="16"/>
                <w:szCs w:val="16"/>
              </w:rPr>
            </w:pPr>
            <w:r w:rsidRPr="4E573620">
              <w:rPr>
                <w:b/>
                <w:bCs/>
                <w:sz w:val="16"/>
                <w:szCs w:val="16"/>
              </w:rPr>
              <w:t xml:space="preserve">2.11 Quantifying household </w:t>
            </w:r>
            <w:proofErr w:type="spellStart"/>
            <w:r w:rsidRPr="4E573620">
              <w:rPr>
                <w:b/>
                <w:bCs/>
                <w:sz w:val="16"/>
                <w:szCs w:val="16"/>
              </w:rPr>
              <w:t>woodfuel</w:t>
            </w:r>
            <w:proofErr w:type="spellEnd"/>
            <w:r w:rsidRPr="4E573620">
              <w:rPr>
                <w:b/>
                <w:bCs/>
                <w:sz w:val="16"/>
                <w:szCs w:val="16"/>
              </w:rPr>
              <w:t xml:space="preserve"> consumption, </w:t>
            </w:r>
            <w:r w:rsidRPr="7D085923">
              <w:rPr>
                <w:b/>
                <w:bCs/>
                <w:sz w:val="16"/>
                <w:szCs w:val="16"/>
              </w:rPr>
              <w:t>Para 44</w:t>
            </w:r>
            <w:r w:rsidRPr="5E5DAE55">
              <w:rPr>
                <w:b/>
                <w:bCs/>
                <w:sz w:val="16"/>
                <w:szCs w:val="16"/>
              </w:rPr>
              <w:t>,</w:t>
            </w:r>
            <w:r w:rsidRPr="4E573620">
              <w:rPr>
                <w:b/>
                <w:bCs/>
                <w:sz w:val="16"/>
                <w:szCs w:val="16"/>
              </w:rPr>
              <w:t xml:space="preserve"> Table 3</w:t>
            </w:r>
          </w:p>
        </w:tc>
        <w:tc>
          <w:tcPr>
            <w:tcW w:w="922" w:type="dxa"/>
            <w:gridSpan w:val="2"/>
            <w:tcBorders>
              <w:top w:val="single" w:sz="6" w:space="0" w:color="auto"/>
              <w:left w:val="single" w:sz="6" w:space="0" w:color="auto"/>
              <w:bottom w:val="single" w:sz="6" w:space="0" w:color="auto"/>
              <w:right w:val="single" w:sz="6" w:space="0" w:color="auto"/>
            </w:tcBorders>
          </w:tcPr>
          <w:p w14:paraId="4117F368" w14:textId="38D61A3E" w:rsidR="00013F5C" w:rsidRDefault="00013F5C" w:rsidP="00013F5C">
            <w:pPr>
              <w:spacing w:before="40"/>
              <w:jc w:val="left"/>
              <w:rPr>
                <w:b/>
                <w:bCs/>
                <w:sz w:val="16"/>
                <w:szCs w:val="16"/>
              </w:rPr>
            </w:pPr>
            <w:r w:rsidRPr="06217679">
              <w:rPr>
                <w:b/>
                <w:bCs/>
                <w:sz w:val="16"/>
                <w:szCs w:val="16"/>
              </w:rPr>
              <w:t>44</w:t>
            </w:r>
          </w:p>
        </w:tc>
        <w:tc>
          <w:tcPr>
            <w:tcW w:w="980" w:type="dxa"/>
            <w:tcBorders>
              <w:top w:val="single" w:sz="6" w:space="0" w:color="auto"/>
              <w:left w:val="single" w:sz="6" w:space="0" w:color="auto"/>
              <w:bottom w:val="single" w:sz="6" w:space="0" w:color="auto"/>
              <w:right w:val="single" w:sz="6" w:space="0" w:color="auto"/>
            </w:tcBorders>
          </w:tcPr>
          <w:p w14:paraId="4EE1AB88" w14:textId="08B97ED7" w:rsidR="00013F5C" w:rsidRDefault="00013F5C" w:rsidP="00013F5C">
            <w:pPr>
              <w:spacing w:before="40"/>
              <w:jc w:val="left"/>
              <w:rPr>
                <w:b/>
                <w:bCs/>
                <w:sz w:val="16"/>
                <w:szCs w:val="16"/>
              </w:rPr>
            </w:pPr>
            <w:r>
              <w:rPr>
                <w:b/>
                <w:bCs/>
                <w:sz w:val="16"/>
                <w:szCs w:val="16"/>
              </w:rPr>
              <w:t>ed</w:t>
            </w:r>
          </w:p>
        </w:tc>
        <w:tc>
          <w:tcPr>
            <w:tcW w:w="4762" w:type="dxa"/>
            <w:tcBorders>
              <w:top w:val="single" w:sz="6" w:space="0" w:color="auto"/>
              <w:left w:val="single" w:sz="6" w:space="0" w:color="auto"/>
              <w:bottom w:val="single" w:sz="6" w:space="0" w:color="auto"/>
              <w:right w:val="single" w:sz="6" w:space="0" w:color="auto"/>
            </w:tcBorders>
          </w:tcPr>
          <w:p w14:paraId="4F43A811" w14:textId="77777777" w:rsidR="00013F5C" w:rsidRPr="00941A70" w:rsidRDefault="00013F5C" w:rsidP="00013F5C">
            <w:pPr>
              <w:spacing w:before="40" w:after="40"/>
              <w:jc w:val="left"/>
              <w:rPr>
                <w:rFonts w:eastAsia="Arial"/>
                <w:b/>
                <w:bCs/>
                <w:sz w:val="16"/>
                <w:szCs w:val="16"/>
              </w:rPr>
            </w:pPr>
            <w:r w:rsidRPr="00941A70">
              <w:rPr>
                <w:rFonts w:eastAsia="Arial"/>
                <w:b/>
                <w:bCs/>
                <w:sz w:val="16"/>
                <w:szCs w:val="16"/>
              </w:rPr>
              <w:t>Residential Biomass Consumption</w:t>
            </w:r>
          </w:p>
          <w:p w14:paraId="71936339" w14:textId="77777777" w:rsidR="00013F5C" w:rsidRPr="00941A70" w:rsidRDefault="00013F5C" w:rsidP="00013F5C">
            <w:pPr>
              <w:keepLines/>
              <w:spacing w:before="40" w:after="40" w:line="190" w:lineRule="exact"/>
              <w:jc w:val="left"/>
              <w:rPr>
                <w:sz w:val="16"/>
                <w:szCs w:val="16"/>
              </w:rPr>
            </w:pPr>
          </w:p>
          <w:p w14:paraId="427E5693" w14:textId="3E5273C0" w:rsidR="00013F5C" w:rsidRPr="00941A70" w:rsidRDefault="00013F5C" w:rsidP="00013F5C">
            <w:pPr>
              <w:spacing w:before="40" w:after="40"/>
              <w:jc w:val="left"/>
              <w:rPr>
                <w:rFonts w:eastAsia="Arial"/>
                <w:b/>
                <w:bCs/>
                <w:sz w:val="16"/>
                <w:szCs w:val="16"/>
              </w:rPr>
            </w:pPr>
            <w:r w:rsidRPr="00941A70">
              <w:rPr>
                <w:sz w:val="16"/>
                <w:szCs w:val="16"/>
              </w:rPr>
              <w:t>In the first row of the table, the Annual per capita woody biomass consumption unit is noted as kg. This should be in tonnes (t)</w:t>
            </w:r>
          </w:p>
        </w:tc>
        <w:tc>
          <w:tcPr>
            <w:tcW w:w="4253" w:type="dxa"/>
            <w:tcBorders>
              <w:top w:val="single" w:sz="6" w:space="0" w:color="auto"/>
              <w:left w:val="single" w:sz="6" w:space="0" w:color="auto"/>
              <w:bottom w:val="single" w:sz="6" w:space="0" w:color="auto"/>
              <w:right w:val="single" w:sz="6" w:space="0" w:color="auto"/>
            </w:tcBorders>
          </w:tcPr>
          <w:p w14:paraId="03CC1AE6" w14:textId="7C2F51E8" w:rsidR="00013F5C" w:rsidRPr="00941A70" w:rsidRDefault="00013F5C" w:rsidP="00013F5C">
            <w:pPr>
              <w:spacing w:before="40" w:after="40"/>
              <w:jc w:val="left"/>
              <w:rPr>
                <w:rFonts w:eastAsia="Arial"/>
                <w:sz w:val="16"/>
                <w:szCs w:val="16"/>
              </w:rPr>
            </w:pPr>
            <w:r w:rsidRPr="00941A70">
              <w:rPr>
                <w:sz w:val="16"/>
                <w:szCs w:val="16"/>
              </w:rPr>
              <w:t>Change “Annual per capita consumption (kg)” to “Annual per capita consumption (t)”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830A6B2" w14:textId="77777777" w:rsidR="00013F5C" w:rsidRDefault="00013F5C" w:rsidP="00013F5C">
            <w:pPr>
              <w:spacing w:line="190" w:lineRule="exact"/>
              <w:jc w:val="left"/>
              <w:rPr>
                <w:b/>
                <w:bCs/>
                <w:sz w:val="16"/>
                <w:szCs w:val="16"/>
              </w:rPr>
            </w:pPr>
          </w:p>
        </w:tc>
      </w:tr>
      <w:tr w:rsidR="00013F5C" w14:paraId="75FE9C61"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F8B77DA" w14:textId="5D0D063D" w:rsidR="00013F5C" w:rsidRDefault="002C1B9B" w:rsidP="00013F5C">
            <w:pPr>
              <w:spacing w:line="190" w:lineRule="exact"/>
              <w:jc w:val="left"/>
              <w:rPr>
                <w:b/>
                <w:bCs/>
                <w:sz w:val="16"/>
                <w:szCs w:val="16"/>
              </w:rPr>
            </w:pPr>
            <w:r>
              <w:rPr>
                <w:b/>
                <w:bCs/>
                <w:sz w:val="16"/>
                <w:szCs w:val="16"/>
              </w:rPr>
              <w:t>28</w:t>
            </w:r>
          </w:p>
        </w:tc>
        <w:tc>
          <w:tcPr>
            <w:tcW w:w="1425" w:type="dxa"/>
            <w:tcBorders>
              <w:top w:val="single" w:sz="6" w:space="0" w:color="auto"/>
              <w:left w:val="single" w:sz="6" w:space="0" w:color="auto"/>
              <w:bottom w:val="single" w:sz="6" w:space="0" w:color="auto"/>
              <w:right w:val="single" w:sz="6" w:space="0" w:color="auto"/>
            </w:tcBorders>
          </w:tcPr>
          <w:p w14:paraId="7849859E" w14:textId="377B12D2" w:rsidR="00013F5C" w:rsidRDefault="00013F5C" w:rsidP="00013F5C">
            <w:pPr>
              <w:spacing w:line="190" w:lineRule="exact"/>
              <w:jc w:val="left"/>
              <w:rPr>
                <w:b/>
                <w:bCs/>
                <w:sz w:val="16"/>
                <w:szCs w:val="16"/>
              </w:rPr>
            </w:pPr>
            <w:r w:rsidRPr="7FA2EAEF">
              <w:rPr>
                <w:b/>
                <w:bCs/>
                <w:sz w:val="16"/>
                <w:szCs w:val="16"/>
              </w:rPr>
              <w:t xml:space="preserve">2.11 Quantifying household </w:t>
            </w:r>
            <w:proofErr w:type="spellStart"/>
            <w:r w:rsidRPr="7FA2EAEF">
              <w:rPr>
                <w:b/>
                <w:bCs/>
                <w:sz w:val="16"/>
                <w:szCs w:val="16"/>
              </w:rPr>
              <w:t>woodfuel</w:t>
            </w:r>
            <w:proofErr w:type="spellEnd"/>
            <w:r w:rsidRPr="7FA2EAEF">
              <w:rPr>
                <w:b/>
                <w:bCs/>
                <w:sz w:val="16"/>
                <w:szCs w:val="16"/>
              </w:rPr>
              <w:t xml:space="preserve"> consumption, Para 44,</w:t>
            </w:r>
          </w:p>
          <w:p w14:paraId="7DB554A1" w14:textId="0956B851" w:rsidR="00013F5C" w:rsidRDefault="00013F5C" w:rsidP="00013F5C">
            <w:pPr>
              <w:spacing w:line="190" w:lineRule="exact"/>
              <w:jc w:val="left"/>
              <w:rPr>
                <w:b/>
                <w:bCs/>
                <w:sz w:val="16"/>
                <w:szCs w:val="16"/>
              </w:rPr>
            </w:pPr>
          </w:p>
        </w:tc>
        <w:tc>
          <w:tcPr>
            <w:tcW w:w="922" w:type="dxa"/>
            <w:gridSpan w:val="2"/>
            <w:tcBorders>
              <w:top w:val="single" w:sz="6" w:space="0" w:color="auto"/>
              <w:left w:val="single" w:sz="6" w:space="0" w:color="auto"/>
              <w:bottom w:val="single" w:sz="6" w:space="0" w:color="auto"/>
              <w:right w:val="single" w:sz="6" w:space="0" w:color="auto"/>
            </w:tcBorders>
          </w:tcPr>
          <w:p w14:paraId="357E108F" w14:textId="780061E2" w:rsidR="00013F5C" w:rsidRDefault="00013F5C" w:rsidP="00013F5C">
            <w:pPr>
              <w:jc w:val="left"/>
              <w:rPr>
                <w:b/>
                <w:bCs/>
                <w:sz w:val="16"/>
                <w:szCs w:val="16"/>
              </w:rPr>
            </w:pPr>
            <w:r w:rsidRPr="7FA2EAEF">
              <w:rPr>
                <w:b/>
                <w:bCs/>
                <w:sz w:val="16"/>
                <w:szCs w:val="16"/>
              </w:rPr>
              <w:t>44</w:t>
            </w:r>
          </w:p>
        </w:tc>
        <w:tc>
          <w:tcPr>
            <w:tcW w:w="980" w:type="dxa"/>
            <w:tcBorders>
              <w:top w:val="single" w:sz="6" w:space="0" w:color="auto"/>
              <w:left w:val="single" w:sz="6" w:space="0" w:color="auto"/>
              <w:bottom w:val="single" w:sz="6" w:space="0" w:color="auto"/>
              <w:right w:val="single" w:sz="6" w:space="0" w:color="auto"/>
            </w:tcBorders>
          </w:tcPr>
          <w:p w14:paraId="0F59E02D" w14:textId="658624EF" w:rsidR="00013F5C" w:rsidRDefault="00013F5C" w:rsidP="00013F5C">
            <w:pPr>
              <w:jc w:val="left"/>
              <w:rPr>
                <w:b/>
                <w:bCs/>
                <w:sz w:val="16"/>
                <w:szCs w:val="16"/>
              </w:rPr>
            </w:pPr>
            <w:proofErr w:type="spellStart"/>
            <w:r w:rsidRPr="7FA2EAEF">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2167498" w14:textId="1C55D877" w:rsidR="00013F5C" w:rsidRDefault="00013F5C" w:rsidP="00013F5C">
            <w:pPr>
              <w:jc w:val="left"/>
              <w:rPr>
                <w:rFonts w:eastAsia="Arial"/>
                <w:b/>
                <w:bCs/>
                <w:sz w:val="16"/>
                <w:szCs w:val="16"/>
              </w:rPr>
            </w:pPr>
            <w:r w:rsidRPr="7FA2EAEF">
              <w:rPr>
                <w:rFonts w:eastAsia="Arial"/>
                <w:b/>
                <w:bCs/>
                <w:sz w:val="16"/>
                <w:szCs w:val="16"/>
              </w:rPr>
              <w:t>Annual per-</w:t>
            </w:r>
            <w:r w:rsidRPr="68FF231F">
              <w:rPr>
                <w:rFonts w:eastAsia="Arial"/>
                <w:b/>
                <w:bCs/>
                <w:sz w:val="16"/>
                <w:szCs w:val="16"/>
              </w:rPr>
              <w:t>capita</w:t>
            </w:r>
          </w:p>
          <w:p w14:paraId="54825E1B" w14:textId="0C6D5DB7" w:rsidR="00013F5C" w:rsidRDefault="00013F5C" w:rsidP="00013F5C">
            <w:pPr>
              <w:jc w:val="left"/>
              <w:rPr>
                <w:rFonts w:eastAsia="Arial"/>
                <w:b/>
                <w:bCs/>
                <w:sz w:val="16"/>
                <w:szCs w:val="16"/>
              </w:rPr>
            </w:pPr>
          </w:p>
          <w:p w14:paraId="0FFAB183" w14:textId="7105D6E4" w:rsidR="00013F5C" w:rsidRDefault="00013F5C" w:rsidP="00013F5C">
            <w:pPr>
              <w:jc w:val="left"/>
              <w:rPr>
                <w:rFonts w:eastAsia="Arial"/>
                <w:sz w:val="16"/>
                <w:szCs w:val="16"/>
              </w:rPr>
            </w:pPr>
            <w:proofErr w:type="spellStart"/>
            <w:r w:rsidRPr="7FA2EAEF">
              <w:rPr>
                <w:rFonts w:eastAsia="Arial"/>
                <w:sz w:val="16"/>
                <w:szCs w:val="16"/>
              </w:rPr>
              <w:t>LatAm</w:t>
            </w:r>
            <w:proofErr w:type="spellEnd"/>
            <w:r w:rsidRPr="7FA2EAEF">
              <w:rPr>
                <w:rFonts w:eastAsia="Arial"/>
                <w:sz w:val="16"/>
                <w:szCs w:val="16"/>
              </w:rPr>
              <w:t xml:space="preserve"> values for annual per-</w:t>
            </w:r>
            <w:r w:rsidRPr="68FF231F">
              <w:rPr>
                <w:rFonts w:eastAsia="Arial"/>
                <w:sz w:val="16"/>
                <w:szCs w:val="16"/>
              </w:rPr>
              <w:t>capita</w:t>
            </w:r>
            <w:r w:rsidRPr="7FA2EAEF">
              <w:rPr>
                <w:rFonts w:eastAsia="Arial"/>
                <w:sz w:val="16"/>
                <w:szCs w:val="16"/>
              </w:rPr>
              <w:t xml:space="preserve"> consumption in kg are set at 1.11 kg, whereas a newer dataset (Rob </w:t>
            </w:r>
            <w:proofErr w:type="spellStart"/>
            <w:r w:rsidRPr="7FA2EAEF">
              <w:rPr>
                <w:rFonts w:eastAsia="Arial"/>
                <w:sz w:val="16"/>
                <w:szCs w:val="16"/>
              </w:rPr>
              <w:t>Bailis</w:t>
            </w:r>
            <w:proofErr w:type="spellEnd"/>
            <w:r w:rsidRPr="7FA2EAEF">
              <w:rPr>
                <w:rFonts w:eastAsia="Arial"/>
                <w:sz w:val="16"/>
                <w:szCs w:val="16"/>
              </w:rPr>
              <w:t>, July 2024) sets that value at 1.25.</w:t>
            </w:r>
          </w:p>
        </w:tc>
        <w:tc>
          <w:tcPr>
            <w:tcW w:w="4253" w:type="dxa"/>
            <w:tcBorders>
              <w:top w:val="single" w:sz="6" w:space="0" w:color="auto"/>
              <w:left w:val="single" w:sz="6" w:space="0" w:color="auto"/>
              <w:bottom w:val="single" w:sz="6" w:space="0" w:color="auto"/>
              <w:right w:val="single" w:sz="6" w:space="0" w:color="auto"/>
            </w:tcBorders>
          </w:tcPr>
          <w:p w14:paraId="7F99C20E" w14:textId="678238F6" w:rsidR="00013F5C" w:rsidRDefault="00013F5C" w:rsidP="00013F5C">
            <w:pPr>
              <w:jc w:val="left"/>
              <w:rPr>
                <w:sz w:val="16"/>
                <w:szCs w:val="16"/>
              </w:rPr>
            </w:pPr>
            <w:r w:rsidRPr="7FA2EAEF">
              <w:rPr>
                <w:sz w:val="16"/>
                <w:szCs w:val="16"/>
              </w:rPr>
              <w:t>Note discrepancy and adjust if appropriate.</w:t>
            </w:r>
          </w:p>
          <w:p w14:paraId="08F167F8" w14:textId="7373DBB9" w:rsidR="00013F5C" w:rsidRDefault="00013F5C" w:rsidP="00013F5C">
            <w:pPr>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6AE7F4D" w14:textId="6B42D981" w:rsidR="00013F5C" w:rsidRDefault="00013F5C" w:rsidP="00013F5C">
            <w:pPr>
              <w:spacing w:line="190" w:lineRule="exact"/>
              <w:jc w:val="left"/>
              <w:rPr>
                <w:b/>
                <w:bCs/>
                <w:sz w:val="16"/>
                <w:szCs w:val="16"/>
              </w:rPr>
            </w:pPr>
          </w:p>
        </w:tc>
      </w:tr>
      <w:tr w:rsidR="002C1B9B" w14:paraId="6F44AF20" w14:textId="77777777" w:rsidTr="00ED3E57">
        <w:trPr>
          <w:gridAfter w:val="5"/>
          <w:wAfter w:w="12777" w:type="dxa"/>
          <w:cantSplit/>
          <w:trHeight w:val="300"/>
          <w:jc w:val="center"/>
        </w:trPr>
        <w:tc>
          <w:tcPr>
            <w:tcW w:w="2552" w:type="dxa"/>
            <w:gridSpan w:val="3"/>
            <w:tcBorders>
              <w:top w:val="single" w:sz="6" w:space="0" w:color="auto"/>
              <w:left w:val="single" w:sz="6" w:space="0" w:color="auto"/>
              <w:bottom w:val="single" w:sz="6" w:space="0" w:color="auto"/>
              <w:right w:val="single" w:sz="6" w:space="0" w:color="auto"/>
            </w:tcBorders>
            <w:shd w:val="clear" w:color="auto" w:fill="E6E6E6"/>
          </w:tcPr>
          <w:p w14:paraId="356498BF" w14:textId="77777777" w:rsidR="002C1B9B" w:rsidRDefault="002C1B9B" w:rsidP="00013F5C">
            <w:pPr>
              <w:spacing w:line="190" w:lineRule="exact"/>
              <w:jc w:val="left"/>
              <w:rPr>
                <w:b/>
                <w:bCs/>
                <w:sz w:val="16"/>
                <w:szCs w:val="16"/>
              </w:rPr>
            </w:pPr>
          </w:p>
        </w:tc>
      </w:tr>
      <w:tr w:rsidR="00013F5C" w14:paraId="3279B53A"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C523292" w14:textId="45161D55" w:rsidR="00013F5C" w:rsidRPr="628A9BD2" w:rsidRDefault="002C1B9B" w:rsidP="00013F5C">
            <w:pPr>
              <w:spacing w:line="190" w:lineRule="exact"/>
              <w:jc w:val="left"/>
              <w:rPr>
                <w:b/>
                <w:bCs/>
                <w:sz w:val="16"/>
                <w:szCs w:val="16"/>
              </w:rPr>
            </w:pPr>
            <w:r>
              <w:rPr>
                <w:b/>
                <w:bCs/>
                <w:sz w:val="16"/>
                <w:szCs w:val="16"/>
              </w:rPr>
              <w:lastRenderedPageBreak/>
              <w:t>29</w:t>
            </w:r>
          </w:p>
        </w:tc>
        <w:tc>
          <w:tcPr>
            <w:tcW w:w="1425" w:type="dxa"/>
            <w:tcBorders>
              <w:top w:val="single" w:sz="6" w:space="0" w:color="auto"/>
              <w:left w:val="single" w:sz="6" w:space="0" w:color="auto"/>
              <w:bottom w:val="single" w:sz="6" w:space="0" w:color="auto"/>
              <w:right w:val="single" w:sz="6" w:space="0" w:color="auto"/>
            </w:tcBorders>
          </w:tcPr>
          <w:p w14:paraId="086ADA9E" w14:textId="634E8872" w:rsidR="00013F5C" w:rsidRPr="092178E1" w:rsidRDefault="00013F5C" w:rsidP="00013F5C">
            <w:pPr>
              <w:spacing w:before="40" w:after="40"/>
              <w:jc w:val="left"/>
              <w:rPr>
                <w:rFonts w:eastAsia="Arial"/>
                <w:b/>
                <w:bCs/>
                <w:sz w:val="16"/>
                <w:szCs w:val="16"/>
              </w:rPr>
            </w:pPr>
            <w:r w:rsidRPr="5E6B839C">
              <w:rPr>
                <w:b/>
                <w:bCs/>
                <w:sz w:val="16"/>
                <w:szCs w:val="16"/>
              </w:rPr>
              <w:t xml:space="preserve">2.11 Quantifying household </w:t>
            </w:r>
            <w:proofErr w:type="spellStart"/>
            <w:r w:rsidRPr="5E6B839C">
              <w:rPr>
                <w:b/>
                <w:bCs/>
                <w:sz w:val="16"/>
                <w:szCs w:val="16"/>
              </w:rPr>
              <w:t>woodfuel</w:t>
            </w:r>
            <w:proofErr w:type="spellEnd"/>
            <w:r w:rsidRPr="5E6B839C">
              <w:rPr>
                <w:b/>
                <w:bCs/>
                <w:sz w:val="16"/>
                <w:szCs w:val="16"/>
              </w:rPr>
              <w:t xml:space="preserve"> consumption, Table 4</w:t>
            </w:r>
          </w:p>
        </w:tc>
        <w:tc>
          <w:tcPr>
            <w:tcW w:w="922" w:type="dxa"/>
            <w:gridSpan w:val="2"/>
            <w:tcBorders>
              <w:top w:val="single" w:sz="6" w:space="0" w:color="auto"/>
              <w:left w:val="single" w:sz="6" w:space="0" w:color="auto"/>
              <w:bottom w:val="single" w:sz="6" w:space="0" w:color="auto"/>
              <w:right w:val="single" w:sz="6" w:space="0" w:color="auto"/>
            </w:tcBorders>
          </w:tcPr>
          <w:p w14:paraId="06518F22" w14:textId="7F335CEB" w:rsidR="00013F5C" w:rsidRPr="186F6602" w:rsidRDefault="00013F5C" w:rsidP="00013F5C">
            <w:pPr>
              <w:spacing w:before="40"/>
              <w:jc w:val="left"/>
              <w:rPr>
                <w:rFonts w:eastAsia="Arial"/>
                <w:b/>
                <w:bCs/>
                <w:sz w:val="16"/>
                <w:szCs w:val="16"/>
              </w:rPr>
            </w:pPr>
            <w:r w:rsidRPr="186F6602">
              <w:rPr>
                <w:rFonts w:eastAsia="Arial"/>
                <w:b/>
                <w:bCs/>
                <w:sz w:val="16"/>
                <w:szCs w:val="16"/>
              </w:rPr>
              <w:t>46</w:t>
            </w:r>
          </w:p>
        </w:tc>
        <w:tc>
          <w:tcPr>
            <w:tcW w:w="980" w:type="dxa"/>
            <w:tcBorders>
              <w:top w:val="single" w:sz="6" w:space="0" w:color="auto"/>
              <w:left w:val="single" w:sz="6" w:space="0" w:color="auto"/>
              <w:bottom w:val="single" w:sz="6" w:space="0" w:color="auto"/>
              <w:right w:val="single" w:sz="6" w:space="0" w:color="auto"/>
            </w:tcBorders>
          </w:tcPr>
          <w:p w14:paraId="01ECB384" w14:textId="130FE491" w:rsidR="00013F5C" w:rsidRPr="186F6602" w:rsidRDefault="00013F5C" w:rsidP="00013F5C">
            <w:pPr>
              <w:spacing w:before="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42F0763" w14:textId="77777777" w:rsidR="00013F5C" w:rsidRPr="00941A70" w:rsidRDefault="00013F5C" w:rsidP="00013F5C">
            <w:pPr>
              <w:spacing w:before="40" w:after="40" w:line="276" w:lineRule="auto"/>
              <w:jc w:val="left"/>
              <w:rPr>
                <w:rFonts w:eastAsia="Arial"/>
                <w:b/>
                <w:bCs/>
                <w:sz w:val="16"/>
                <w:szCs w:val="16"/>
              </w:rPr>
            </w:pPr>
            <w:r w:rsidRPr="00941A70">
              <w:rPr>
                <w:rFonts w:eastAsia="Arial"/>
                <w:b/>
                <w:bCs/>
                <w:sz w:val="16"/>
                <w:szCs w:val="16"/>
              </w:rPr>
              <w:t>Residential Biomass Consumption</w:t>
            </w:r>
          </w:p>
          <w:p w14:paraId="62C5EFD2" w14:textId="16B489C2" w:rsidR="00013F5C" w:rsidRPr="00941A70" w:rsidRDefault="00013F5C" w:rsidP="00013F5C">
            <w:pPr>
              <w:spacing w:before="40" w:after="40" w:line="276" w:lineRule="auto"/>
              <w:jc w:val="left"/>
              <w:rPr>
                <w:rFonts w:eastAsia="Arial"/>
                <w:sz w:val="16"/>
                <w:szCs w:val="16"/>
              </w:rPr>
            </w:pPr>
            <w:r w:rsidRPr="00941A70">
              <w:rPr>
                <w:rFonts w:eastAsia="Arial"/>
                <w:sz w:val="16"/>
                <w:szCs w:val="16"/>
              </w:rPr>
              <w:t xml:space="preserve">The </w:t>
            </w:r>
            <w:proofErr w:type="spellStart"/>
            <w:r w:rsidR="00847B1A">
              <w:rPr>
                <w:rFonts w:eastAsia="Arial"/>
                <w:sz w:val="16"/>
                <w:szCs w:val="16"/>
              </w:rPr>
              <w:t>MoFuSS</w:t>
            </w:r>
            <w:proofErr w:type="spellEnd"/>
            <w:r w:rsidRPr="00941A70">
              <w:rPr>
                <w:rFonts w:eastAsia="Arial"/>
                <w:sz w:val="16"/>
                <w:szCs w:val="16"/>
              </w:rPr>
              <w:t xml:space="preserve"> tool estimates non-renewable biomass primarily as a function of population data and estimated fuel consumption metrics. </w:t>
            </w:r>
          </w:p>
          <w:p w14:paraId="32949A62" w14:textId="35B83AFD" w:rsidR="00013F5C" w:rsidRPr="00941A70" w:rsidRDefault="00013F5C" w:rsidP="00013F5C">
            <w:pPr>
              <w:spacing w:before="40" w:after="40" w:line="276" w:lineRule="auto"/>
              <w:jc w:val="left"/>
              <w:rPr>
                <w:rFonts w:eastAsia="Arial"/>
                <w:sz w:val="16"/>
                <w:szCs w:val="16"/>
              </w:rPr>
            </w:pPr>
            <w:r w:rsidRPr="00941A70">
              <w:rPr>
                <w:sz w:val="16"/>
                <w:szCs w:val="16"/>
              </w:rPr>
              <w:t xml:space="preserve">The fuelwood per capita per year has been adjusted to reflect 0.4t per year of oven dry mass </w:t>
            </w:r>
            <w:r w:rsidRPr="00941A70">
              <w:rPr>
                <w:rFonts w:eastAsia="Arial"/>
                <w:sz w:val="16"/>
                <w:szCs w:val="16"/>
              </w:rPr>
              <w:t>across Sub Saharan Africa. We consider this default to be too low.</w:t>
            </w:r>
          </w:p>
          <w:p w14:paraId="59135AEB" w14:textId="4111B738" w:rsidR="00013F5C" w:rsidRPr="00941A70" w:rsidRDefault="00013F5C" w:rsidP="00013F5C">
            <w:pPr>
              <w:spacing w:before="40" w:after="40" w:line="276" w:lineRule="auto"/>
              <w:jc w:val="left"/>
              <w:rPr>
                <w:rFonts w:eastAsia="Arial"/>
                <w:sz w:val="16"/>
                <w:szCs w:val="16"/>
              </w:rPr>
            </w:pPr>
            <w:r w:rsidRPr="00941A70">
              <w:rPr>
                <w:rFonts w:eastAsia="Arial"/>
                <w:sz w:val="16"/>
                <w:szCs w:val="16"/>
              </w:rPr>
              <w:t xml:space="preserve">We also note there is inconsistencies in </w:t>
            </w:r>
            <w:r w:rsidRPr="001F1705">
              <w:rPr>
                <w:rFonts w:eastAsia="Arial"/>
                <w:sz w:val="16"/>
                <w:szCs w:val="16"/>
              </w:rPr>
              <w:t>the values chosen, for example the</w:t>
            </w:r>
            <w:r w:rsidRPr="00941A70">
              <w:rPr>
                <w:rFonts w:eastAsia="Arial"/>
                <w:sz w:val="16"/>
                <w:szCs w:val="16"/>
              </w:rPr>
              <w:t xml:space="preserve"> authors </w:t>
            </w:r>
            <w:r w:rsidRPr="001F1705">
              <w:rPr>
                <w:rFonts w:eastAsia="Arial"/>
                <w:sz w:val="16"/>
                <w:szCs w:val="16"/>
              </w:rPr>
              <w:t xml:space="preserve">have opted for the UN Data value for </w:t>
            </w:r>
            <w:proofErr w:type="spellStart"/>
            <w:r w:rsidRPr="001F1705">
              <w:rPr>
                <w:rFonts w:eastAsia="Arial"/>
                <w:sz w:val="16"/>
                <w:szCs w:val="16"/>
              </w:rPr>
              <w:t>LatAm</w:t>
            </w:r>
            <w:proofErr w:type="spellEnd"/>
            <w:r w:rsidRPr="001F1705">
              <w:rPr>
                <w:rFonts w:eastAsia="Arial"/>
                <w:sz w:val="16"/>
                <w:szCs w:val="16"/>
              </w:rPr>
              <w:t xml:space="preserve"> (1.10), but not for SSA (0.59)</w:t>
            </w:r>
            <w:r w:rsidRPr="00941A70">
              <w:rPr>
                <w:rFonts w:eastAsia="Arial"/>
                <w:sz w:val="16"/>
                <w:szCs w:val="16"/>
              </w:rPr>
              <w:t>. T</w:t>
            </w:r>
            <w:r w:rsidRPr="001F1705">
              <w:rPr>
                <w:rFonts w:eastAsia="Arial"/>
                <w:sz w:val="16"/>
                <w:szCs w:val="16"/>
              </w:rPr>
              <w:t xml:space="preserve">here is no explanation for this distinction. </w:t>
            </w:r>
          </w:p>
          <w:p w14:paraId="70AF9037" w14:textId="2C56EAF9" w:rsidR="00013F5C" w:rsidRPr="00941A70" w:rsidRDefault="00013F5C" w:rsidP="00013F5C">
            <w:pPr>
              <w:spacing w:before="40" w:after="40"/>
              <w:jc w:val="left"/>
              <w:rPr>
                <w:rFonts w:eastAsia="Arial"/>
                <w:b/>
                <w:bCs/>
                <w:sz w:val="16"/>
                <w:szCs w:val="16"/>
              </w:rPr>
            </w:pPr>
            <w:r w:rsidRPr="00941A70">
              <w:rPr>
                <w:rFonts w:eastAsia="Arial"/>
                <w:b/>
                <w:bCs/>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4CFA7222" w14:textId="04426679" w:rsidR="00013F5C" w:rsidRPr="00941A70" w:rsidRDefault="00013F5C" w:rsidP="00013F5C">
            <w:pPr>
              <w:keepLines/>
              <w:spacing w:before="40" w:after="40" w:line="190" w:lineRule="exact"/>
              <w:jc w:val="left"/>
              <w:rPr>
                <w:rFonts w:eastAsia="Arial"/>
                <w:sz w:val="16"/>
                <w:szCs w:val="16"/>
              </w:rPr>
            </w:pPr>
            <w:r w:rsidRPr="00941A70">
              <w:rPr>
                <w:rFonts w:eastAsia="Arial"/>
                <w:sz w:val="16"/>
                <w:szCs w:val="16"/>
              </w:rPr>
              <w:t>Please provide further explanation for the low defaults.</w:t>
            </w:r>
          </w:p>
          <w:p w14:paraId="288A44F3" w14:textId="26094D73" w:rsidR="00013F5C" w:rsidRPr="00941A70" w:rsidRDefault="00013F5C" w:rsidP="00013F5C">
            <w:pPr>
              <w:keepLines/>
              <w:spacing w:before="40" w:after="40" w:line="190" w:lineRule="exact"/>
              <w:jc w:val="left"/>
              <w:rPr>
                <w:rFonts w:eastAsia="Arial"/>
                <w:sz w:val="16"/>
                <w:szCs w:val="16"/>
              </w:rPr>
            </w:pPr>
            <w:r w:rsidRPr="00941A70">
              <w:rPr>
                <w:rFonts w:eastAsia="Arial"/>
                <w:sz w:val="16"/>
                <w:szCs w:val="16"/>
              </w:rPr>
              <w:t xml:space="preserve">Additionally, we recommend that the quantification of </w:t>
            </w:r>
            <w:proofErr w:type="spellStart"/>
            <w:r w:rsidRPr="00941A70">
              <w:rPr>
                <w:rFonts w:eastAsia="Arial"/>
                <w:sz w:val="16"/>
                <w:szCs w:val="16"/>
              </w:rPr>
              <w:t>woodfuel</w:t>
            </w:r>
            <w:proofErr w:type="spellEnd"/>
            <w:r w:rsidRPr="00941A70">
              <w:rPr>
                <w:rFonts w:eastAsia="Arial"/>
                <w:sz w:val="16"/>
                <w:szCs w:val="16"/>
              </w:rPr>
              <w:t xml:space="preserve"> consumption data should be done nationally and should be sourced from updated Host Country approved surveys.</w:t>
            </w:r>
          </w:p>
          <w:p w14:paraId="6C435D13" w14:textId="77777777" w:rsidR="00013F5C" w:rsidRPr="00941A70" w:rsidRDefault="00013F5C" w:rsidP="00013F5C">
            <w:pPr>
              <w:keepLines/>
              <w:spacing w:before="40" w:after="40" w:line="190" w:lineRule="exact"/>
              <w:jc w:val="left"/>
              <w:rPr>
                <w:rFonts w:eastAsia="Arial"/>
                <w:sz w:val="16"/>
                <w:szCs w:val="16"/>
              </w:rPr>
            </w:pPr>
          </w:p>
          <w:p w14:paraId="1A3C6FD8" w14:textId="3BF0C615" w:rsidR="00013F5C" w:rsidRPr="00941A70" w:rsidRDefault="00013F5C" w:rsidP="00013F5C">
            <w:pPr>
              <w:keepLines/>
              <w:spacing w:before="40" w:after="40"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B9B5E34" w14:textId="77777777" w:rsidR="00013F5C" w:rsidRDefault="00013F5C" w:rsidP="00013F5C">
            <w:pPr>
              <w:spacing w:line="190" w:lineRule="exact"/>
              <w:jc w:val="left"/>
              <w:rPr>
                <w:b/>
                <w:bCs/>
                <w:sz w:val="16"/>
                <w:szCs w:val="16"/>
              </w:rPr>
            </w:pPr>
          </w:p>
        </w:tc>
      </w:tr>
      <w:tr w:rsidR="00013F5C" w14:paraId="400D4008"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7DCAD162" w14:textId="7643D314" w:rsidR="00013F5C" w:rsidRDefault="00013F5C" w:rsidP="00013F5C">
            <w:pPr>
              <w:spacing w:line="190" w:lineRule="exact"/>
              <w:jc w:val="left"/>
              <w:rPr>
                <w:b/>
                <w:bCs/>
                <w:sz w:val="16"/>
                <w:szCs w:val="16"/>
              </w:rPr>
            </w:pPr>
            <w:r w:rsidRPr="7FA2EAEF">
              <w:rPr>
                <w:b/>
                <w:bCs/>
                <w:sz w:val="16"/>
                <w:szCs w:val="16"/>
              </w:rPr>
              <w:t>3</w:t>
            </w:r>
            <w:r w:rsidR="002C1B9B">
              <w:rPr>
                <w:b/>
                <w:bCs/>
                <w:sz w:val="16"/>
                <w:szCs w:val="16"/>
              </w:rPr>
              <w:t>0</w:t>
            </w:r>
          </w:p>
        </w:tc>
        <w:tc>
          <w:tcPr>
            <w:tcW w:w="1425" w:type="dxa"/>
            <w:tcBorders>
              <w:top w:val="single" w:sz="6" w:space="0" w:color="auto"/>
              <w:left w:val="single" w:sz="6" w:space="0" w:color="auto"/>
              <w:bottom w:val="single" w:sz="6" w:space="0" w:color="auto"/>
              <w:right w:val="single" w:sz="6" w:space="0" w:color="auto"/>
            </w:tcBorders>
          </w:tcPr>
          <w:p w14:paraId="775D2773" w14:textId="77777777" w:rsidR="00013F5C" w:rsidRPr="00491824" w:rsidRDefault="00013F5C" w:rsidP="00013F5C">
            <w:pPr>
              <w:keepLines/>
              <w:spacing w:before="40" w:after="40" w:line="190" w:lineRule="exact"/>
              <w:rPr>
                <w:b/>
                <w:bCs/>
                <w:sz w:val="16"/>
                <w:szCs w:val="16"/>
              </w:rPr>
            </w:pPr>
            <w:r w:rsidRPr="00491824">
              <w:rPr>
                <w:b/>
                <w:bCs/>
                <w:sz w:val="16"/>
                <w:szCs w:val="16"/>
              </w:rPr>
              <w:t xml:space="preserve">2.11 Quantifying household </w:t>
            </w:r>
            <w:proofErr w:type="spellStart"/>
            <w:r w:rsidRPr="00491824">
              <w:rPr>
                <w:b/>
                <w:bCs/>
                <w:sz w:val="16"/>
                <w:szCs w:val="16"/>
              </w:rPr>
              <w:t>woodfuel</w:t>
            </w:r>
            <w:proofErr w:type="spellEnd"/>
            <w:r w:rsidRPr="00491824">
              <w:rPr>
                <w:b/>
                <w:bCs/>
                <w:sz w:val="16"/>
                <w:szCs w:val="16"/>
              </w:rPr>
              <w:t xml:space="preserve"> consumption</w:t>
            </w:r>
          </w:p>
          <w:p w14:paraId="4BBF59CB" w14:textId="77777777" w:rsidR="00013F5C" w:rsidRPr="00491824" w:rsidRDefault="00013F5C" w:rsidP="00013F5C">
            <w:pPr>
              <w:keepLines/>
              <w:spacing w:before="40" w:after="40" w:line="190" w:lineRule="exact"/>
              <w:rPr>
                <w:b/>
                <w:bCs/>
                <w:sz w:val="16"/>
                <w:szCs w:val="16"/>
              </w:rPr>
            </w:pPr>
          </w:p>
          <w:p w14:paraId="06E493B2" w14:textId="77777777" w:rsidR="00013F5C" w:rsidRPr="00491824" w:rsidRDefault="00013F5C" w:rsidP="00013F5C">
            <w:pPr>
              <w:keepLines/>
              <w:spacing w:before="40" w:after="40" w:line="190" w:lineRule="exact"/>
              <w:rPr>
                <w:b/>
                <w:bCs/>
                <w:sz w:val="16"/>
                <w:szCs w:val="16"/>
              </w:rPr>
            </w:pPr>
            <w:r w:rsidRPr="00491824">
              <w:rPr>
                <w:b/>
                <w:bCs/>
                <w:sz w:val="16"/>
                <w:szCs w:val="16"/>
              </w:rPr>
              <w:t>Paragraph 48 (b)</w:t>
            </w:r>
          </w:p>
          <w:p w14:paraId="0A02CA11" w14:textId="77777777" w:rsidR="00013F5C" w:rsidRPr="00491824" w:rsidRDefault="00013F5C" w:rsidP="00013F5C">
            <w:pPr>
              <w:keepLines/>
              <w:spacing w:before="40" w:after="40" w:line="190" w:lineRule="exact"/>
              <w:rPr>
                <w:b/>
                <w:bCs/>
                <w:sz w:val="16"/>
                <w:szCs w:val="16"/>
              </w:rPr>
            </w:pPr>
          </w:p>
          <w:p w14:paraId="280E9CB5" w14:textId="77777777" w:rsidR="00013F5C" w:rsidRPr="00491824" w:rsidRDefault="00013F5C" w:rsidP="00013F5C">
            <w:pPr>
              <w:keepLines/>
              <w:spacing w:before="40" w:after="40" w:line="190" w:lineRule="exact"/>
              <w:rPr>
                <w:b/>
                <w:bCs/>
                <w:sz w:val="16"/>
                <w:szCs w:val="16"/>
              </w:rPr>
            </w:pPr>
          </w:p>
          <w:p w14:paraId="68CF893F" w14:textId="77777777" w:rsidR="00013F5C" w:rsidRPr="00491824" w:rsidRDefault="00013F5C" w:rsidP="00013F5C">
            <w:pPr>
              <w:spacing w:before="40" w:after="40"/>
              <w:jc w:val="left"/>
              <w:rPr>
                <w:rFonts w:eastAsia="Arial"/>
                <w:b/>
                <w:bCs/>
                <w:sz w:val="16"/>
                <w:szCs w:val="16"/>
              </w:rPr>
            </w:pPr>
          </w:p>
        </w:tc>
        <w:tc>
          <w:tcPr>
            <w:tcW w:w="922" w:type="dxa"/>
            <w:gridSpan w:val="2"/>
            <w:tcBorders>
              <w:top w:val="single" w:sz="6" w:space="0" w:color="auto"/>
              <w:left w:val="single" w:sz="6" w:space="0" w:color="auto"/>
              <w:bottom w:val="single" w:sz="6" w:space="0" w:color="auto"/>
              <w:right w:val="single" w:sz="6" w:space="0" w:color="auto"/>
            </w:tcBorders>
          </w:tcPr>
          <w:p w14:paraId="539E9DE0" w14:textId="663DB1F9" w:rsidR="00013F5C" w:rsidRPr="00491824" w:rsidRDefault="00013F5C" w:rsidP="00013F5C">
            <w:pPr>
              <w:keepLines/>
              <w:spacing w:before="40" w:after="40" w:line="190" w:lineRule="exact"/>
              <w:rPr>
                <w:b/>
                <w:bCs/>
                <w:sz w:val="16"/>
                <w:szCs w:val="16"/>
              </w:rPr>
            </w:pPr>
            <w:r w:rsidRPr="00491824">
              <w:rPr>
                <w:b/>
                <w:bCs/>
                <w:sz w:val="16"/>
                <w:szCs w:val="16"/>
              </w:rPr>
              <w:t>48(b)</w:t>
            </w:r>
          </w:p>
          <w:p w14:paraId="071B7737" w14:textId="77777777" w:rsidR="00013F5C" w:rsidRPr="00491824" w:rsidRDefault="00013F5C" w:rsidP="00013F5C">
            <w:pPr>
              <w:keepLines/>
              <w:spacing w:before="40" w:after="40" w:line="190" w:lineRule="exact"/>
              <w:rPr>
                <w:b/>
                <w:bCs/>
                <w:sz w:val="16"/>
                <w:szCs w:val="16"/>
              </w:rPr>
            </w:pPr>
          </w:p>
          <w:p w14:paraId="43B92E7B" w14:textId="77777777" w:rsidR="00013F5C" w:rsidRPr="00491824" w:rsidRDefault="00013F5C" w:rsidP="00013F5C">
            <w:pPr>
              <w:keepLines/>
              <w:spacing w:before="40" w:after="40" w:line="190" w:lineRule="exact"/>
              <w:rPr>
                <w:b/>
                <w:bCs/>
                <w:sz w:val="16"/>
                <w:szCs w:val="16"/>
              </w:rPr>
            </w:pPr>
          </w:p>
          <w:p w14:paraId="7CD11E69" w14:textId="77777777" w:rsidR="00013F5C" w:rsidRPr="00491824" w:rsidRDefault="00013F5C" w:rsidP="00013F5C">
            <w:pPr>
              <w:spacing w:before="40"/>
              <w:jc w:val="left"/>
              <w:rPr>
                <w:rFonts w:eastAsia="Arial"/>
                <w:b/>
                <w:bCs/>
                <w:sz w:val="16"/>
                <w:szCs w:val="16"/>
              </w:rPr>
            </w:pPr>
          </w:p>
        </w:tc>
        <w:tc>
          <w:tcPr>
            <w:tcW w:w="980" w:type="dxa"/>
            <w:tcBorders>
              <w:top w:val="single" w:sz="6" w:space="0" w:color="auto"/>
              <w:left w:val="single" w:sz="6" w:space="0" w:color="auto"/>
              <w:bottom w:val="single" w:sz="6" w:space="0" w:color="auto"/>
              <w:right w:val="single" w:sz="6" w:space="0" w:color="auto"/>
            </w:tcBorders>
          </w:tcPr>
          <w:p w14:paraId="7D888AE4" w14:textId="3238F2AF" w:rsidR="00013F5C" w:rsidRPr="00491824" w:rsidRDefault="00013F5C" w:rsidP="00013F5C">
            <w:pPr>
              <w:spacing w:before="40"/>
              <w:jc w:val="left"/>
              <w:rPr>
                <w:rFonts w:eastAsia="Arial"/>
                <w:b/>
                <w:bCs/>
                <w:sz w:val="16"/>
                <w:szCs w:val="16"/>
              </w:rPr>
            </w:pPr>
            <w:proofErr w:type="spellStart"/>
            <w:r w:rsidRPr="00491824">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DC300C9" w14:textId="77777777" w:rsidR="00013F5C" w:rsidRPr="00491824" w:rsidRDefault="00013F5C" w:rsidP="00013F5C">
            <w:pPr>
              <w:keepLines/>
              <w:spacing w:before="40" w:after="40" w:line="190" w:lineRule="exact"/>
              <w:rPr>
                <w:rFonts w:eastAsia="Arial"/>
                <w:b/>
                <w:bCs/>
                <w:sz w:val="16"/>
                <w:szCs w:val="16"/>
              </w:rPr>
            </w:pPr>
            <w:r w:rsidRPr="00491824">
              <w:rPr>
                <w:rFonts w:eastAsia="Arial"/>
                <w:b/>
                <w:bCs/>
                <w:sz w:val="16"/>
                <w:szCs w:val="16"/>
              </w:rPr>
              <w:t>Urban / Rural definition</w:t>
            </w:r>
          </w:p>
          <w:p w14:paraId="4D01F75C" w14:textId="77777777" w:rsidR="00013F5C" w:rsidRPr="00491824" w:rsidRDefault="00013F5C" w:rsidP="00013F5C">
            <w:pPr>
              <w:keepLines/>
              <w:spacing w:before="40" w:after="40" w:line="190" w:lineRule="exact"/>
              <w:rPr>
                <w:rFonts w:eastAsia="Arial"/>
                <w:b/>
                <w:bCs/>
                <w:sz w:val="16"/>
                <w:szCs w:val="16"/>
              </w:rPr>
            </w:pPr>
            <w:r w:rsidRPr="00491824">
              <w:rPr>
                <w:rFonts w:eastAsia="Arial"/>
                <w:sz w:val="16"/>
                <w:szCs w:val="16"/>
              </w:rPr>
              <w:t>We are concerned by the approach outlined below to the definition of rural and urban areas, and that UN population growth rates are then applied to all rural and urban pixels equally.</w:t>
            </w:r>
          </w:p>
          <w:p w14:paraId="7A454AA1" w14:textId="628E49B7" w:rsidR="00013F5C" w:rsidRPr="00491824" w:rsidRDefault="00013F5C" w:rsidP="00013F5C">
            <w:pPr>
              <w:keepLines/>
              <w:spacing w:before="40" w:after="40" w:line="190" w:lineRule="exact"/>
              <w:rPr>
                <w:rFonts w:eastAsia="Arial"/>
                <w:sz w:val="16"/>
                <w:szCs w:val="16"/>
              </w:rPr>
            </w:pPr>
            <w:r w:rsidRPr="00491824">
              <w:rPr>
                <w:rFonts w:eastAsia="Arial"/>
                <w:sz w:val="16"/>
                <w:szCs w:val="16"/>
              </w:rPr>
              <w:t xml:space="preserve">“We use the WHO’s projections of populations using different primary cooking fuels, disaggregated by urban and rural sub-populations. However, </w:t>
            </w:r>
            <w:proofErr w:type="spellStart"/>
            <w:r w:rsidRPr="00491824">
              <w:rPr>
                <w:rFonts w:eastAsia="Arial"/>
                <w:sz w:val="16"/>
                <w:szCs w:val="16"/>
              </w:rPr>
              <w:t>WorldPop’s</w:t>
            </w:r>
            <w:proofErr w:type="spellEnd"/>
            <w:r w:rsidRPr="00491824">
              <w:rPr>
                <w:rFonts w:eastAsia="Arial"/>
                <w:sz w:val="16"/>
                <w:szCs w:val="16"/>
              </w:rPr>
              <w:t xml:space="preserve"> spatial data doesn’t differentiate between urban and rural areas. To make this distinction, we define urban and rural areas by ranking all pixels from the </w:t>
            </w:r>
            <w:proofErr w:type="spellStart"/>
            <w:r w:rsidRPr="00491824">
              <w:rPr>
                <w:rFonts w:eastAsia="Arial"/>
                <w:sz w:val="16"/>
                <w:szCs w:val="16"/>
              </w:rPr>
              <w:t>WorldPop</w:t>
            </w:r>
            <w:proofErr w:type="spellEnd"/>
            <w:r w:rsidRPr="00491824">
              <w:rPr>
                <w:rFonts w:eastAsia="Arial"/>
                <w:sz w:val="16"/>
                <w:szCs w:val="16"/>
              </w:rPr>
              <w:t xml:space="preserve"> map by population density in descending order and defining a cutoff such that the cumulative sum of pixels in descending order equals UNDESA’s estimate of the country’s urban population in that base year.”</w:t>
            </w:r>
          </w:p>
        </w:tc>
        <w:tc>
          <w:tcPr>
            <w:tcW w:w="4253" w:type="dxa"/>
            <w:tcBorders>
              <w:top w:val="single" w:sz="6" w:space="0" w:color="auto"/>
              <w:left w:val="single" w:sz="6" w:space="0" w:color="auto"/>
              <w:bottom w:val="single" w:sz="6" w:space="0" w:color="auto"/>
              <w:right w:val="single" w:sz="6" w:space="0" w:color="auto"/>
            </w:tcBorders>
          </w:tcPr>
          <w:p w14:paraId="4F4D01CA" w14:textId="0D00B3D8" w:rsidR="00013F5C" w:rsidRPr="00941A70" w:rsidRDefault="00013F5C" w:rsidP="00013F5C">
            <w:pPr>
              <w:keepLines/>
              <w:spacing w:before="40" w:after="40" w:line="190" w:lineRule="exact"/>
              <w:jc w:val="left"/>
              <w:rPr>
                <w:rFonts w:eastAsia="Arial"/>
                <w:sz w:val="16"/>
                <w:szCs w:val="16"/>
              </w:rPr>
            </w:pPr>
            <w:r w:rsidRPr="00941A70">
              <w:rPr>
                <w:rFonts w:eastAsia="Arial"/>
                <w:sz w:val="16"/>
                <w:szCs w:val="16"/>
              </w:rPr>
              <w:t>The categorization of urban and rural areas, along with population projections should be done nationally, and should be sourced from updated Host Country approved surveys.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84A9399" w14:textId="77777777" w:rsidR="00013F5C" w:rsidRDefault="00013F5C" w:rsidP="00013F5C">
            <w:pPr>
              <w:spacing w:line="190" w:lineRule="exact"/>
              <w:jc w:val="left"/>
              <w:rPr>
                <w:b/>
                <w:bCs/>
                <w:sz w:val="16"/>
                <w:szCs w:val="16"/>
              </w:rPr>
            </w:pPr>
          </w:p>
        </w:tc>
      </w:tr>
      <w:tr w:rsidR="00013F5C" w14:paraId="0D120972" w14:textId="77777777" w:rsidTr="5C4BB938">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C3C261A" w14:textId="2AE71A4F" w:rsidR="00013F5C" w:rsidRDefault="00013F5C" w:rsidP="00013F5C">
            <w:pPr>
              <w:spacing w:line="190" w:lineRule="exact"/>
              <w:jc w:val="left"/>
              <w:rPr>
                <w:b/>
                <w:bCs/>
                <w:sz w:val="16"/>
                <w:szCs w:val="16"/>
              </w:rPr>
            </w:pPr>
            <w:r w:rsidRPr="7FA2EAEF">
              <w:rPr>
                <w:b/>
                <w:bCs/>
                <w:sz w:val="16"/>
                <w:szCs w:val="16"/>
              </w:rPr>
              <w:t>3</w:t>
            </w:r>
            <w:r w:rsidR="002C1B9B">
              <w:rPr>
                <w:b/>
                <w:bCs/>
                <w:sz w:val="16"/>
                <w:szCs w:val="16"/>
              </w:rPr>
              <w:t>1</w:t>
            </w:r>
          </w:p>
        </w:tc>
        <w:tc>
          <w:tcPr>
            <w:tcW w:w="1425" w:type="dxa"/>
            <w:tcBorders>
              <w:top w:val="single" w:sz="6" w:space="0" w:color="auto"/>
              <w:left w:val="single" w:sz="6" w:space="0" w:color="auto"/>
              <w:bottom w:val="single" w:sz="6" w:space="0" w:color="auto"/>
              <w:right w:val="single" w:sz="6" w:space="0" w:color="auto"/>
            </w:tcBorders>
          </w:tcPr>
          <w:p w14:paraId="592C0501" w14:textId="110164D2" w:rsidR="00013F5C" w:rsidRDefault="00013F5C" w:rsidP="00013F5C">
            <w:pPr>
              <w:jc w:val="left"/>
              <w:rPr>
                <w:rFonts w:eastAsia="Arial"/>
                <w:b/>
                <w:bCs/>
                <w:sz w:val="16"/>
                <w:szCs w:val="16"/>
              </w:rPr>
            </w:pPr>
            <w:r w:rsidRPr="7FA2EAEF">
              <w:rPr>
                <w:rFonts w:eastAsia="Arial"/>
                <w:b/>
                <w:bCs/>
                <w:sz w:val="16"/>
                <w:szCs w:val="16"/>
              </w:rPr>
              <w:t>2.15.4 Prune factor, Para 69</w:t>
            </w:r>
          </w:p>
          <w:p w14:paraId="3988DDF2" w14:textId="342ABCE9" w:rsidR="00013F5C" w:rsidRDefault="00013F5C" w:rsidP="00013F5C">
            <w:pPr>
              <w:jc w:val="left"/>
              <w:rPr>
                <w:rFonts w:eastAsia="Arial"/>
                <w:b/>
                <w:bCs/>
                <w:sz w:val="16"/>
                <w:szCs w:val="16"/>
              </w:rPr>
            </w:pPr>
          </w:p>
        </w:tc>
        <w:tc>
          <w:tcPr>
            <w:tcW w:w="922" w:type="dxa"/>
            <w:gridSpan w:val="2"/>
            <w:tcBorders>
              <w:top w:val="single" w:sz="6" w:space="0" w:color="auto"/>
              <w:left w:val="single" w:sz="6" w:space="0" w:color="auto"/>
              <w:bottom w:val="single" w:sz="6" w:space="0" w:color="auto"/>
              <w:right w:val="single" w:sz="6" w:space="0" w:color="auto"/>
            </w:tcBorders>
          </w:tcPr>
          <w:p w14:paraId="380CAB13" w14:textId="5F079A32" w:rsidR="00013F5C" w:rsidRDefault="00013F5C" w:rsidP="00013F5C">
            <w:pPr>
              <w:jc w:val="left"/>
              <w:rPr>
                <w:rFonts w:eastAsia="Arial"/>
                <w:b/>
                <w:bCs/>
                <w:sz w:val="16"/>
                <w:szCs w:val="16"/>
              </w:rPr>
            </w:pPr>
            <w:r w:rsidRPr="7FA2EAEF">
              <w:rPr>
                <w:rFonts w:eastAsia="Arial"/>
                <w:b/>
                <w:bCs/>
                <w:sz w:val="16"/>
                <w:szCs w:val="16"/>
              </w:rPr>
              <w:t>69</w:t>
            </w:r>
          </w:p>
        </w:tc>
        <w:tc>
          <w:tcPr>
            <w:tcW w:w="980" w:type="dxa"/>
            <w:tcBorders>
              <w:top w:val="single" w:sz="6" w:space="0" w:color="auto"/>
              <w:left w:val="single" w:sz="6" w:space="0" w:color="auto"/>
              <w:bottom w:val="single" w:sz="6" w:space="0" w:color="auto"/>
              <w:right w:val="single" w:sz="6" w:space="0" w:color="auto"/>
            </w:tcBorders>
          </w:tcPr>
          <w:p w14:paraId="47F4A389" w14:textId="7C2D8E02" w:rsidR="00013F5C" w:rsidRDefault="00013F5C" w:rsidP="00013F5C">
            <w:pPr>
              <w:jc w:val="left"/>
              <w:rPr>
                <w:rFonts w:eastAsia="Arial"/>
                <w:b/>
                <w:bCs/>
                <w:sz w:val="16"/>
                <w:szCs w:val="16"/>
              </w:rPr>
            </w:pPr>
            <w:proofErr w:type="spellStart"/>
            <w:r w:rsidRPr="7FA2EAEF">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5F58F66" w14:textId="0964627F" w:rsidR="00013F5C" w:rsidRDefault="00013F5C" w:rsidP="00013F5C">
            <w:pPr>
              <w:rPr>
                <w:rFonts w:eastAsia="Arial"/>
                <w:b/>
                <w:bCs/>
                <w:sz w:val="16"/>
                <w:szCs w:val="16"/>
              </w:rPr>
            </w:pPr>
            <w:r w:rsidRPr="7FA2EAEF">
              <w:rPr>
                <w:rFonts w:eastAsia="Arial"/>
                <w:b/>
                <w:bCs/>
                <w:sz w:val="16"/>
                <w:szCs w:val="16"/>
              </w:rPr>
              <w:t>Prune factor</w:t>
            </w:r>
          </w:p>
          <w:p w14:paraId="1BE5E7DA" w14:textId="1E0CE4CC" w:rsidR="00013F5C" w:rsidRDefault="00013F5C" w:rsidP="00013F5C">
            <w:pPr>
              <w:rPr>
                <w:rFonts w:eastAsia="Arial"/>
                <w:sz w:val="16"/>
                <w:szCs w:val="16"/>
              </w:rPr>
            </w:pPr>
            <w:r w:rsidRPr="7FA2EAEF">
              <w:rPr>
                <w:rFonts w:eastAsia="Arial"/>
                <w:sz w:val="16"/>
                <w:szCs w:val="16"/>
              </w:rPr>
              <w:t>What is the sensitivity of the "prune factor" and how is it determined that 100% is the right value?</w:t>
            </w:r>
          </w:p>
          <w:p w14:paraId="7EE46E36" w14:textId="44925956" w:rsidR="00013F5C" w:rsidRDefault="00013F5C" w:rsidP="00013F5C">
            <w:pPr>
              <w:rPr>
                <w:rFonts w:eastAsia="Arial"/>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D958591" w14:textId="40D60D21" w:rsidR="00013F5C" w:rsidRDefault="00013F5C" w:rsidP="00013F5C">
            <w:pPr>
              <w:rPr>
                <w:rFonts w:eastAsia="Arial"/>
                <w:sz w:val="16"/>
                <w:szCs w:val="16"/>
              </w:rPr>
            </w:pPr>
            <w:r w:rsidRPr="7FA2EAEF">
              <w:rPr>
                <w:rFonts w:eastAsia="Arial"/>
                <w:sz w:val="16"/>
                <w:szCs w:val="16"/>
              </w:rPr>
              <w:t xml:space="preserve">Add note explaining sensitivity of the effect of prune factor on </w:t>
            </w:r>
            <w:proofErr w:type="spellStart"/>
            <w:r w:rsidRPr="7FA2EAEF">
              <w:rPr>
                <w:rFonts w:eastAsia="Arial"/>
                <w:sz w:val="16"/>
                <w:szCs w:val="16"/>
              </w:rPr>
              <w:t>fNRB</w:t>
            </w:r>
            <w:proofErr w:type="spellEnd"/>
            <w:r w:rsidRPr="7FA2EAEF">
              <w:rPr>
                <w:rFonts w:eastAsia="Arial"/>
                <w:sz w:val="16"/>
                <w:szCs w:val="16"/>
              </w:rPr>
              <w:t xml:space="preserve"> values and a justification of the value chosen.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A1C4CE7" w14:textId="7821E360" w:rsidR="00013F5C" w:rsidRDefault="00013F5C" w:rsidP="00013F5C">
            <w:pPr>
              <w:spacing w:line="190" w:lineRule="exact"/>
              <w:jc w:val="left"/>
              <w:rPr>
                <w:b/>
                <w:bCs/>
                <w:sz w:val="16"/>
                <w:szCs w:val="16"/>
              </w:rPr>
            </w:pPr>
          </w:p>
        </w:tc>
      </w:tr>
      <w:tr w:rsidR="00013F5C" w14:paraId="19BDB11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53735387" w14:textId="4CE82775" w:rsidR="00013F5C" w:rsidRDefault="00013F5C" w:rsidP="00013F5C">
            <w:pPr>
              <w:spacing w:line="190" w:lineRule="exact"/>
              <w:jc w:val="left"/>
              <w:rPr>
                <w:b/>
                <w:bCs/>
                <w:sz w:val="16"/>
                <w:szCs w:val="16"/>
              </w:rPr>
            </w:pPr>
            <w:r w:rsidRPr="7FA2EAEF">
              <w:rPr>
                <w:b/>
                <w:bCs/>
                <w:sz w:val="16"/>
                <w:szCs w:val="16"/>
              </w:rPr>
              <w:lastRenderedPageBreak/>
              <w:t>3</w:t>
            </w:r>
            <w:r w:rsidR="002C1B9B">
              <w:rPr>
                <w:b/>
                <w:bCs/>
                <w:sz w:val="16"/>
                <w:szCs w:val="16"/>
              </w:rPr>
              <w:t>2</w:t>
            </w:r>
          </w:p>
        </w:tc>
        <w:tc>
          <w:tcPr>
            <w:tcW w:w="1425" w:type="dxa"/>
            <w:tcBorders>
              <w:top w:val="single" w:sz="6" w:space="0" w:color="auto"/>
              <w:left w:val="single" w:sz="6" w:space="0" w:color="auto"/>
              <w:bottom w:val="single" w:sz="6" w:space="0" w:color="auto"/>
              <w:right w:val="single" w:sz="6" w:space="0" w:color="auto"/>
            </w:tcBorders>
          </w:tcPr>
          <w:p w14:paraId="0A585330" w14:textId="52FB535C" w:rsidR="00013F5C" w:rsidRPr="00421914" w:rsidRDefault="00013F5C" w:rsidP="00013F5C">
            <w:pPr>
              <w:spacing w:before="40" w:after="40"/>
              <w:jc w:val="left"/>
              <w:rPr>
                <w:rFonts w:eastAsia="Arial"/>
                <w:b/>
                <w:bCs/>
                <w:sz w:val="16"/>
                <w:szCs w:val="16"/>
              </w:rPr>
            </w:pPr>
            <w:r w:rsidRPr="00421914">
              <w:rPr>
                <w:rFonts w:eastAsia="Arial"/>
                <w:b/>
                <w:bCs/>
                <w:sz w:val="16"/>
                <w:szCs w:val="16"/>
              </w:rPr>
              <w:t>Global divisions para 2.16</w:t>
            </w:r>
          </w:p>
        </w:tc>
        <w:tc>
          <w:tcPr>
            <w:tcW w:w="922" w:type="dxa"/>
            <w:gridSpan w:val="2"/>
            <w:tcBorders>
              <w:top w:val="single" w:sz="6" w:space="0" w:color="auto"/>
              <w:left w:val="single" w:sz="6" w:space="0" w:color="auto"/>
              <w:bottom w:val="single" w:sz="6" w:space="0" w:color="auto"/>
              <w:right w:val="single" w:sz="6" w:space="0" w:color="auto"/>
            </w:tcBorders>
          </w:tcPr>
          <w:p w14:paraId="797C168D" w14:textId="0EB9DF78" w:rsidR="00013F5C" w:rsidRPr="00421914" w:rsidRDefault="00013F5C" w:rsidP="00013F5C">
            <w:pPr>
              <w:spacing w:before="40"/>
              <w:jc w:val="left"/>
              <w:rPr>
                <w:rFonts w:eastAsia="Arial"/>
                <w:b/>
                <w:bCs/>
                <w:sz w:val="16"/>
                <w:szCs w:val="16"/>
              </w:rPr>
            </w:pPr>
            <w:r w:rsidRPr="00421914">
              <w:rPr>
                <w:rFonts w:eastAsia="Arial"/>
                <w:b/>
                <w:bCs/>
                <w:sz w:val="16"/>
                <w:szCs w:val="16"/>
              </w:rPr>
              <w:t>74</w:t>
            </w:r>
          </w:p>
        </w:tc>
        <w:tc>
          <w:tcPr>
            <w:tcW w:w="980" w:type="dxa"/>
            <w:tcBorders>
              <w:top w:val="single" w:sz="6" w:space="0" w:color="auto"/>
              <w:left w:val="single" w:sz="6" w:space="0" w:color="auto"/>
              <w:bottom w:val="single" w:sz="6" w:space="0" w:color="auto"/>
              <w:right w:val="single" w:sz="6" w:space="0" w:color="auto"/>
            </w:tcBorders>
          </w:tcPr>
          <w:p w14:paraId="287A0F51" w14:textId="0BBEB96A" w:rsidR="00013F5C" w:rsidRPr="00491824" w:rsidRDefault="00013F5C" w:rsidP="00013F5C">
            <w:pPr>
              <w:spacing w:before="40"/>
              <w:jc w:val="left"/>
              <w:rPr>
                <w:rFonts w:eastAsia="Arial"/>
                <w:b/>
                <w:bCs/>
                <w:sz w:val="16"/>
                <w:szCs w:val="16"/>
              </w:rPr>
            </w:pPr>
            <w:proofErr w:type="spellStart"/>
            <w:r w:rsidRPr="00491824">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468304B" w14:textId="2F719EF3" w:rsidR="00013F5C" w:rsidRPr="002E43FE" w:rsidRDefault="00013F5C" w:rsidP="00013F5C">
            <w:pPr>
              <w:spacing w:before="40" w:after="40"/>
            </w:pPr>
            <w:r w:rsidRPr="00491824">
              <w:rPr>
                <w:rFonts w:eastAsia="Arial"/>
                <w:b/>
                <w:bCs/>
                <w:sz w:val="16"/>
                <w:szCs w:val="16"/>
              </w:rPr>
              <w:t>Country Groupings</w:t>
            </w:r>
          </w:p>
          <w:p w14:paraId="6C1179D2" w14:textId="77777777" w:rsidR="00013F5C" w:rsidRPr="00491824" w:rsidRDefault="00013F5C" w:rsidP="00013F5C">
            <w:pPr>
              <w:spacing w:before="40" w:after="40"/>
            </w:pPr>
            <w:r w:rsidRPr="00491824">
              <w:rPr>
                <w:rFonts w:eastAsia="Arial"/>
                <w:sz w:val="16"/>
                <w:szCs w:val="16"/>
              </w:rPr>
              <w:t xml:space="preserve">It is acknowledged that groupings of countries are needed to account for cross border trade (where there is strong evidence that it occurs.) </w:t>
            </w:r>
          </w:p>
          <w:p w14:paraId="757B5F8D" w14:textId="77777777" w:rsidR="00013F5C" w:rsidRPr="00491824" w:rsidRDefault="00013F5C" w:rsidP="00013F5C">
            <w:pPr>
              <w:spacing w:before="40" w:after="40"/>
            </w:pPr>
            <w:r w:rsidRPr="00491824">
              <w:rPr>
                <w:rFonts w:eastAsia="Arial"/>
                <w:sz w:val="16"/>
                <w:szCs w:val="16"/>
              </w:rPr>
              <w:t>One example of this is as follows, in the revised numbers, Rwanda has been included in a grouping, where previously Rwanda had been treated in isolation from other countries. However, Government data exists that shows that Rwanda annually imports (legally) only 200,000kg of biomass (a mixture of charcoal and firewood) and there is little to no strong evidence of significant illicit trade of biomass for cooking. This argument is further strengthened by several Government of Rwanda papers as well as evidence of regular and consistent border closures.</w:t>
            </w:r>
          </w:p>
          <w:p w14:paraId="6DAA6612" w14:textId="190DA494" w:rsidR="00013F5C" w:rsidRPr="00491824" w:rsidRDefault="00013F5C" w:rsidP="00013F5C">
            <w:pPr>
              <w:spacing w:before="40" w:after="40"/>
              <w:jc w:val="left"/>
              <w:rPr>
                <w:rFonts w:eastAsia="Arial"/>
                <w:b/>
                <w:bCs/>
                <w:sz w:val="16"/>
                <w:szCs w:val="16"/>
              </w:rPr>
            </w:pPr>
            <w:r w:rsidRPr="00491824">
              <w:rPr>
                <w:rFonts w:eastAsia="Arial"/>
                <w:sz w:val="16"/>
                <w:szCs w:val="16"/>
              </w:rPr>
              <w:t xml:space="preserve">As such, the cross-border groupings should be reconsidered as part of the modelling exercise. </w:t>
            </w:r>
          </w:p>
        </w:tc>
        <w:tc>
          <w:tcPr>
            <w:tcW w:w="4253" w:type="dxa"/>
            <w:tcBorders>
              <w:top w:val="single" w:sz="6" w:space="0" w:color="auto"/>
              <w:left w:val="single" w:sz="6" w:space="0" w:color="auto"/>
              <w:bottom w:val="single" w:sz="6" w:space="0" w:color="auto"/>
              <w:right w:val="single" w:sz="6" w:space="0" w:color="auto"/>
            </w:tcBorders>
          </w:tcPr>
          <w:p w14:paraId="3B6F7B16" w14:textId="004CC6A5" w:rsidR="00013F5C" w:rsidRPr="00941A70" w:rsidRDefault="005E3629" w:rsidP="00013F5C">
            <w:pPr>
              <w:spacing w:before="40" w:after="40"/>
            </w:pPr>
            <w:r>
              <w:rPr>
                <w:rFonts w:eastAsia="Arial"/>
                <w:sz w:val="16"/>
                <w:szCs w:val="16"/>
              </w:rPr>
              <w:t>We recommend that t</w:t>
            </w:r>
            <w:r w:rsidR="00013F5C" w:rsidRPr="00941A70">
              <w:rPr>
                <w:rFonts w:eastAsia="Arial"/>
                <w:sz w:val="16"/>
                <w:szCs w:val="16"/>
              </w:rPr>
              <w:t xml:space="preserve">he </w:t>
            </w:r>
            <w:proofErr w:type="spellStart"/>
            <w:r w:rsidR="00847B1A">
              <w:rPr>
                <w:rFonts w:eastAsia="Arial"/>
                <w:sz w:val="16"/>
                <w:szCs w:val="16"/>
              </w:rPr>
              <w:t>MoFuSS</w:t>
            </w:r>
            <w:proofErr w:type="spellEnd"/>
            <w:r w:rsidR="00013F5C" w:rsidRPr="00941A70">
              <w:rPr>
                <w:rFonts w:eastAsia="Arial"/>
                <w:sz w:val="16"/>
                <w:szCs w:val="16"/>
              </w:rPr>
              <w:t xml:space="preserve"> numbers be run again after reconsidering the relevant groupings</w:t>
            </w:r>
            <w:r>
              <w:rPr>
                <w:rFonts w:eastAsia="Arial"/>
                <w:sz w:val="16"/>
                <w:szCs w:val="16"/>
              </w:rPr>
              <w:t>, and with full consideration of local data on cross-border trade.</w:t>
            </w:r>
          </w:p>
          <w:p w14:paraId="3ED1D31C" w14:textId="77777777" w:rsidR="00013F5C" w:rsidRPr="00941A70" w:rsidRDefault="00013F5C" w:rsidP="00013F5C">
            <w:pPr>
              <w:spacing w:before="40" w:after="40"/>
            </w:pPr>
            <w:r w:rsidRPr="00941A70">
              <w:rPr>
                <w:rFonts w:eastAsia="Arial"/>
                <w:sz w:val="16"/>
                <w:szCs w:val="16"/>
              </w:rPr>
              <w:t xml:space="preserve">Using Rwanda as an example it is people to rerun the model with the exact figure of annual biomass importation (for cooking) taken from the </w:t>
            </w:r>
            <w:hyperlink r:id="rId19">
              <w:r w:rsidRPr="00941A70">
                <w:rPr>
                  <w:rStyle w:val="Hyperlink"/>
                  <w:rFonts w:eastAsia="Arial"/>
                  <w:color w:val="auto"/>
                  <w:sz w:val="16"/>
                  <w:szCs w:val="16"/>
                  <w:u w:val="none"/>
                </w:rPr>
                <w:t>Ministry of Commerce Wood Products Cluster Strategic Plan 2014-2019</w:t>
              </w:r>
            </w:hyperlink>
            <w:r w:rsidRPr="00941A70">
              <w:rPr>
                <w:rFonts w:eastAsia="Arial"/>
                <w:sz w:val="16"/>
                <w:szCs w:val="16"/>
              </w:rPr>
              <w:t xml:space="preserve"> (page 20) .</w:t>
            </w:r>
          </w:p>
          <w:p w14:paraId="129CA407" w14:textId="77777777" w:rsidR="00013F5C" w:rsidRPr="00941A70" w:rsidRDefault="00013F5C" w:rsidP="00013F5C">
            <w:pPr>
              <w:spacing w:before="40" w:after="40"/>
            </w:pPr>
            <w:r w:rsidRPr="00941A70">
              <w:rPr>
                <w:rFonts w:eastAsia="Arial"/>
                <w:sz w:val="16"/>
                <w:szCs w:val="16"/>
              </w:rPr>
              <w:t>Cross border groupings should be reconsidered as part of the modelling exercise.</w:t>
            </w:r>
          </w:p>
          <w:p w14:paraId="3D1AC3F7" w14:textId="77777777" w:rsidR="00013F5C" w:rsidRPr="00941A70" w:rsidRDefault="00013F5C" w:rsidP="00013F5C">
            <w:pPr>
              <w:keepLines/>
              <w:spacing w:before="40" w:after="40" w:line="190" w:lineRule="exact"/>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6DCA549" w14:textId="77777777" w:rsidR="00013F5C" w:rsidRDefault="00013F5C" w:rsidP="00013F5C">
            <w:pPr>
              <w:spacing w:line="190" w:lineRule="exact"/>
              <w:jc w:val="left"/>
              <w:rPr>
                <w:b/>
                <w:bCs/>
                <w:sz w:val="16"/>
                <w:szCs w:val="16"/>
              </w:rPr>
            </w:pPr>
          </w:p>
        </w:tc>
      </w:tr>
      <w:tr w:rsidR="00013F5C" w14:paraId="04757AD1"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9638ACB" w14:textId="4396B30C" w:rsidR="00013F5C" w:rsidRDefault="002C1B9B" w:rsidP="00013F5C">
            <w:pPr>
              <w:spacing w:line="190" w:lineRule="exact"/>
              <w:jc w:val="left"/>
              <w:rPr>
                <w:b/>
                <w:bCs/>
                <w:sz w:val="16"/>
                <w:szCs w:val="16"/>
              </w:rPr>
            </w:pPr>
            <w:r>
              <w:rPr>
                <w:b/>
                <w:bCs/>
                <w:sz w:val="16"/>
                <w:szCs w:val="16"/>
              </w:rPr>
              <w:t>33</w:t>
            </w:r>
          </w:p>
        </w:tc>
        <w:tc>
          <w:tcPr>
            <w:tcW w:w="1425" w:type="dxa"/>
            <w:tcBorders>
              <w:top w:val="single" w:sz="6" w:space="0" w:color="auto"/>
              <w:left w:val="single" w:sz="6" w:space="0" w:color="auto"/>
              <w:bottom w:val="single" w:sz="6" w:space="0" w:color="auto"/>
              <w:right w:val="single" w:sz="6" w:space="0" w:color="auto"/>
            </w:tcBorders>
          </w:tcPr>
          <w:p w14:paraId="3DC31615" w14:textId="299BE73C" w:rsidR="00013F5C" w:rsidRDefault="00013F5C" w:rsidP="00013F5C">
            <w:pPr>
              <w:spacing w:before="40"/>
              <w:jc w:val="left"/>
              <w:rPr>
                <w:rFonts w:eastAsia="Arial"/>
                <w:b/>
                <w:bCs/>
                <w:sz w:val="16"/>
                <w:szCs w:val="16"/>
              </w:rPr>
            </w:pPr>
            <w:r w:rsidRPr="17EC7094">
              <w:rPr>
                <w:b/>
                <w:bCs/>
                <w:sz w:val="16"/>
                <w:szCs w:val="16"/>
              </w:rPr>
              <w:t xml:space="preserve">3.1 Updated </w:t>
            </w:r>
            <w:proofErr w:type="spellStart"/>
            <w:r w:rsidRPr="17EC7094">
              <w:rPr>
                <w:b/>
                <w:bCs/>
                <w:sz w:val="16"/>
                <w:szCs w:val="16"/>
              </w:rPr>
              <w:t>fNRB</w:t>
            </w:r>
            <w:proofErr w:type="spellEnd"/>
            <w:r w:rsidRPr="17EC7094">
              <w:rPr>
                <w:b/>
                <w:bCs/>
                <w:sz w:val="16"/>
                <w:szCs w:val="16"/>
              </w:rPr>
              <w:t xml:space="preserve"> values for low- and middle-income countries</w:t>
            </w:r>
            <w:r w:rsidRPr="3D4FE179">
              <w:rPr>
                <w:b/>
                <w:bCs/>
                <w:sz w:val="16"/>
                <w:szCs w:val="16"/>
              </w:rPr>
              <w:t xml:space="preserve">, Para </w:t>
            </w:r>
            <w:r w:rsidRPr="425AC467">
              <w:rPr>
                <w:b/>
                <w:bCs/>
                <w:sz w:val="16"/>
                <w:szCs w:val="16"/>
              </w:rPr>
              <w:t>80</w:t>
            </w:r>
          </w:p>
        </w:tc>
        <w:tc>
          <w:tcPr>
            <w:tcW w:w="922" w:type="dxa"/>
            <w:gridSpan w:val="2"/>
            <w:tcBorders>
              <w:top w:val="single" w:sz="6" w:space="0" w:color="auto"/>
              <w:left w:val="single" w:sz="6" w:space="0" w:color="auto"/>
              <w:bottom w:val="single" w:sz="6" w:space="0" w:color="auto"/>
              <w:right w:val="single" w:sz="6" w:space="0" w:color="auto"/>
            </w:tcBorders>
          </w:tcPr>
          <w:p w14:paraId="3C6D4B80" w14:textId="1D8646ED" w:rsidR="00013F5C" w:rsidRDefault="00013F5C" w:rsidP="00013F5C">
            <w:pPr>
              <w:spacing w:before="40"/>
              <w:jc w:val="left"/>
              <w:rPr>
                <w:rFonts w:eastAsia="Arial"/>
                <w:b/>
                <w:bCs/>
                <w:sz w:val="16"/>
                <w:szCs w:val="16"/>
              </w:rPr>
            </w:pPr>
            <w:r w:rsidRPr="186F6602">
              <w:rPr>
                <w:b/>
                <w:bCs/>
                <w:sz w:val="16"/>
                <w:szCs w:val="16"/>
              </w:rPr>
              <w:t>80</w:t>
            </w:r>
          </w:p>
        </w:tc>
        <w:tc>
          <w:tcPr>
            <w:tcW w:w="980" w:type="dxa"/>
            <w:tcBorders>
              <w:top w:val="single" w:sz="6" w:space="0" w:color="auto"/>
              <w:left w:val="single" w:sz="6" w:space="0" w:color="auto"/>
              <w:bottom w:val="single" w:sz="6" w:space="0" w:color="auto"/>
              <w:right w:val="single" w:sz="6" w:space="0" w:color="auto"/>
            </w:tcBorders>
          </w:tcPr>
          <w:p w14:paraId="77BCA24A" w14:textId="435BC3D8" w:rsidR="00013F5C" w:rsidRDefault="00013F5C" w:rsidP="00013F5C">
            <w:pPr>
              <w:spacing w:before="40"/>
              <w:jc w:val="left"/>
              <w:rPr>
                <w:rFonts w:eastAsia="Arial"/>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27515D4" w14:textId="77777777" w:rsidR="00013F5C" w:rsidRPr="00941A70" w:rsidRDefault="00013F5C" w:rsidP="00013F5C">
            <w:pPr>
              <w:keepLines/>
              <w:spacing w:before="40" w:after="40" w:line="190" w:lineRule="exact"/>
              <w:jc w:val="left"/>
              <w:rPr>
                <w:b/>
                <w:bCs/>
                <w:sz w:val="16"/>
                <w:szCs w:val="16"/>
              </w:rPr>
            </w:pPr>
            <w:r w:rsidRPr="00941A70">
              <w:rPr>
                <w:b/>
                <w:bCs/>
                <w:sz w:val="16"/>
                <w:szCs w:val="16"/>
              </w:rPr>
              <w:t>Summarized Results</w:t>
            </w:r>
          </w:p>
          <w:p w14:paraId="1491568F" w14:textId="64B4FF6A" w:rsidR="00013F5C" w:rsidRPr="00941A70" w:rsidRDefault="00013F5C" w:rsidP="00013F5C">
            <w:pPr>
              <w:jc w:val="left"/>
              <w:rPr>
                <w:sz w:val="16"/>
                <w:szCs w:val="16"/>
              </w:rPr>
            </w:pPr>
            <w:r w:rsidRPr="00941A70">
              <w:rPr>
                <w:sz w:val="16"/>
                <w:szCs w:val="16"/>
              </w:rPr>
              <w:t xml:space="preserve">Standard deviations are not only large for low </w:t>
            </w:r>
            <w:proofErr w:type="spellStart"/>
            <w:r w:rsidRPr="00941A70">
              <w:rPr>
                <w:sz w:val="16"/>
                <w:szCs w:val="16"/>
              </w:rPr>
              <w:t>fNRB</w:t>
            </w:r>
            <w:proofErr w:type="spellEnd"/>
            <w:r w:rsidRPr="00941A70">
              <w:rPr>
                <w:sz w:val="16"/>
                <w:szCs w:val="16"/>
              </w:rPr>
              <w:t xml:space="preserve"> values – in many of the cases the standard deviations are large for the larger values as well (Examples: Bangladesh </w:t>
            </w:r>
            <w:proofErr w:type="spellStart"/>
            <w:r w:rsidR="003F396C">
              <w:rPr>
                <w:sz w:val="16"/>
                <w:szCs w:val="16"/>
              </w:rPr>
              <w:t>fNRB</w:t>
            </w:r>
            <w:proofErr w:type="spellEnd"/>
            <w:r w:rsidRPr="00941A70">
              <w:rPr>
                <w:sz w:val="16"/>
                <w:szCs w:val="16"/>
              </w:rPr>
              <w:t xml:space="preserve"> = 39 </w:t>
            </w:r>
            <w:proofErr w:type="spellStart"/>
            <w:r w:rsidRPr="00941A70">
              <w:rPr>
                <w:sz w:val="16"/>
                <w:szCs w:val="16"/>
              </w:rPr>
              <w:t>StDev</w:t>
            </w:r>
            <w:proofErr w:type="spellEnd"/>
            <w:r w:rsidRPr="00941A70">
              <w:rPr>
                <w:sz w:val="16"/>
                <w:szCs w:val="16"/>
              </w:rPr>
              <w:t xml:space="preserve"> = 30; Malaysia </w:t>
            </w:r>
            <w:proofErr w:type="spellStart"/>
            <w:r w:rsidRPr="00941A70">
              <w:rPr>
                <w:sz w:val="16"/>
                <w:szCs w:val="16"/>
              </w:rPr>
              <w:t>fNRB</w:t>
            </w:r>
            <w:proofErr w:type="spellEnd"/>
            <w:r w:rsidRPr="00941A70">
              <w:rPr>
                <w:sz w:val="16"/>
                <w:szCs w:val="16"/>
              </w:rPr>
              <w:t xml:space="preserve"> = 34 </w:t>
            </w:r>
            <w:proofErr w:type="spellStart"/>
            <w:r w:rsidRPr="00941A70">
              <w:rPr>
                <w:sz w:val="16"/>
                <w:szCs w:val="16"/>
              </w:rPr>
              <w:t>StDev</w:t>
            </w:r>
            <w:proofErr w:type="spellEnd"/>
            <w:r w:rsidRPr="00941A70">
              <w:rPr>
                <w:sz w:val="16"/>
                <w:szCs w:val="16"/>
              </w:rPr>
              <w:t xml:space="preserve"> = 33). How can these values be accepted when the standard deviations are this large, especially in the cases of lower values with extreme standard deviations like Indonesia with and </w:t>
            </w:r>
            <w:proofErr w:type="spellStart"/>
            <w:r w:rsidRPr="00941A70">
              <w:rPr>
                <w:sz w:val="16"/>
                <w:szCs w:val="16"/>
              </w:rPr>
              <w:t>fNRB</w:t>
            </w:r>
            <w:proofErr w:type="spellEnd"/>
            <w:r w:rsidRPr="00941A70">
              <w:rPr>
                <w:sz w:val="16"/>
                <w:szCs w:val="16"/>
              </w:rPr>
              <w:t xml:space="preserve"> of 5 and a </w:t>
            </w:r>
            <w:proofErr w:type="spellStart"/>
            <w:r w:rsidRPr="00941A70">
              <w:rPr>
                <w:sz w:val="16"/>
                <w:szCs w:val="16"/>
              </w:rPr>
              <w:t>StDev</w:t>
            </w:r>
            <w:proofErr w:type="spellEnd"/>
            <w:r w:rsidRPr="00941A70">
              <w:rPr>
                <w:sz w:val="16"/>
                <w:szCs w:val="16"/>
              </w:rPr>
              <w:t xml:space="preserve"> of 100? </w:t>
            </w:r>
          </w:p>
          <w:p w14:paraId="27E63D86" w14:textId="77777777" w:rsidR="00013F5C" w:rsidRPr="00941A70" w:rsidRDefault="00013F5C" w:rsidP="00013F5C">
            <w:pPr>
              <w:jc w:val="left"/>
              <w:rPr>
                <w:sz w:val="16"/>
                <w:szCs w:val="16"/>
              </w:rPr>
            </w:pPr>
          </w:p>
          <w:p w14:paraId="163629A8" w14:textId="77777777" w:rsidR="00013F5C" w:rsidRPr="00941A70" w:rsidRDefault="00013F5C" w:rsidP="00013F5C">
            <w:pPr>
              <w:jc w:val="left"/>
              <w:rPr>
                <w:sz w:val="16"/>
                <w:szCs w:val="16"/>
              </w:rPr>
            </w:pPr>
            <w:r w:rsidRPr="00941A70">
              <w:rPr>
                <w:sz w:val="16"/>
                <w:szCs w:val="16"/>
              </w:rPr>
              <w:t xml:space="preserve">Overall, the large standard deviations bring into question the validity of the model and default values. </w:t>
            </w:r>
          </w:p>
          <w:p w14:paraId="1B8BF6CA" w14:textId="77777777" w:rsidR="00013F5C" w:rsidRPr="00941A70" w:rsidRDefault="00013F5C" w:rsidP="00013F5C">
            <w:pPr>
              <w:jc w:val="left"/>
              <w:rPr>
                <w:sz w:val="16"/>
                <w:szCs w:val="16"/>
              </w:rPr>
            </w:pPr>
          </w:p>
          <w:p w14:paraId="2833DB6D" w14:textId="723AA635" w:rsidR="00013F5C" w:rsidRPr="00941A70" w:rsidRDefault="00013F5C" w:rsidP="00013F5C">
            <w:pPr>
              <w:jc w:val="left"/>
              <w:rPr>
                <w:rFonts w:eastAsia="Arial"/>
                <w:sz w:val="16"/>
                <w:szCs w:val="16"/>
              </w:rPr>
            </w:pPr>
            <w:r w:rsidRPr="00941A70">
              <w:rPr>
                <w:sz w:val="16"/>
                <w:szCs w:val="16"/>
              </w:rPr>
              <w:t xml:space="preserve">In all other aspects of cookstove and carbon projects standard deviations on parameters values like this will not be accepted by VVBs and Standard bodies. The same should apply for these values.  </w:t>
            </w:r>
            <w:r w:rsidRPr="00941A70">
              <w:rPr>
                <w:b/>
                <w:bCs/>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50E9E163" w14:textId="1D5571AA" w:rsidR="00013F5C" w:rsidRPr="00941A70" w:rsidRDefault="00013F5C" w:rsidP="00013F5C">
            <w:pPr>
              <w:keepLines/>
              <w:spacing w:before="40" w:after="40" w:line="190" w:lineRule="exact"/>
              <w:jc w:val="left"/>
              <w:rPr>
                <w:sz w:val="16"/>
                <w:szCs w:val="16"/>
              </w:rPr>
            </w:pPr>
            <w:r w:rsidRPr="00941A70">
              <w:rPr>
                <w:sz w:val="16"/>
                <w:szCs w:val="16"/>
              </w:rPr>
              <w:t>Please provide a clearer explanation for the high Standard Deviations for the modelling and the value in terms of accuracy of using these numbers in our estimates.</w:t>
            </w:r>
          </w:p>
          <w:p w14:paraId="6CFD077B" w14:textId="0D1E6172" w:rsidR="00013F5C" w:rsidRPr="00941A70" w:rsidRDefault="00013F5C" w:rsidP="00013F5C">
            <w:pPr>
              <w:spacing w:before="40"/>
              <w:jc w:val="left"/>
              <w:rPr>
                <w:rFonts w:eastAsia="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8A5DB84" w14:textId="46D9A4EF" w:rsidR="00013F5C" w:rsidRDefault="00013F5C" w:rsidP="00013F5C">
            <w:pPr>
              <w:spacing w:line="190" w:lineRule="exact"/>
              <w:jc w:val="left"/>
              <w:rPr>
                <w:b/>
                <w:bCs/>
                <w:sz w:val="16"/>
                <w:szCs w:val="16"/>
              </w:rPr>
            </w:pPr>
          </w:p>
        </w:tc>
      </w:tr>
      <w:tr w:rsidR="00013F5C" w14:paraId="164867D9"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2510B756" w14:textId="3845B269" w:rsidR="00013F5C" w:rsidRDefault="002C1B9B" w:rsidP="00013F5C">
            <w:pPr>
              <w:spacing w:line="190" w:lineRule="exact"/>
              <w:jc w:val="left"/>
              <w:rPr>
                <w:b/>
                <w:bCs/>
                <w:sz w:val="16"/>
                <w:szCs w:val="16"/>
              </w:rPr>
            </w:pPr>
            <w:r>
              <w:rPr>
                <w:b/>
                <w:bCs/>
                <w:sz w:val="16"/>
                <w:szCs w:val="16"/>
              </w:rPr>
              <w:lastRenderedPageBreak/>
              <w:t>34</w:t>
            </w:r>
          </w:p>
        </w:tc>
        <w:tc>
          <w:tcPr>
            <w:tcW w:w="1425" w:type="dxa"/>
            <w:tcBorders>
              <w:top w:val="single" w:sz="6" w:space="0" w:color="auto"/>
              <w:left w:val="single" w:sz="6" w:space="0" w:color="auto"/>
              <w:bottom w:val="single" w:sz="6" w:space="0" w:color="auto"/>
              <w:right w:val="single" w:sz="6" w:space="0" w:color="auto"/>
            </w:tcBorders>
          </w:tcPr>
          <w:p w14:paraId="7AC72C58" w14:textId="4EA13FDA" w:rsidR="00013F5C" w:rsidRDefault="00013F5C" w:rsidP="00013F5C">
            <w:pPr>
              <w:spacing w:before="40" w:after="40" w:line="259" w:lineRule="auto"/>
              <w:jc w:val="left"/>
              <w:rPr>
                <w:rFonts w:eastAsia="Arial"/>
                <w:b/>
                <w:bCs/>
                <w:sz w:val="16"/>
                <w:szCs w:val="16"/>
              </w:rPr>
            </w:pPr>
            <w:r w:rsidRPr="439FED25">
              <w:rPr>
                <w:rFonts w:eastAsia="Arial"/>
                <w:b/>
                <w:bCs/>
                <w:sz w:val="16"/>
                <w:szCs w:val="16"/>
              </w:rPr>
              <w:t xml:space="preserve">3.1 Updated </w:t>
            </w:r>
            <w:proofErr w:type="spellStart"/>
            <w:r w:rsidRPr="439FED25">
              <w:rPr>
                <w:rFonts w:eastAsia="Arial"/>
                <w:b/>
                <w:bCs/>
                <w:sz w:val="16"/>
                <w:szCs w:val="16"/>
              </w:rPr>
              <w:t>fNRB</w:t>
            </w:r>
            <w:proofErr w:type="spellEnd"/>
            <w:r w:rsidRPr="439FED25">
              <w:rPr>
                <w:rFonts w:eastAsia="Arial"/>
                <w:b/>
                <w:bCs/>
                <w:sz w:val="16"/>
                <w:szCs w:val="16"/>
              </w:rPr>
              <w:t xml:space="preserve"> values for low- and middle-income countries</w:t>
            </w:r>
            <w:r w:rsidRPr="1EAE247E">
              <w:rPr>
                <w:rFonts w:eastAsia="Arial"/>
                <w:b/>
                <w:bCs/>
                <w:sz w:val="16"/>
                <w:szCs w:val="16"/>
              </w:rPr>
              <w:t>,</w:t>
            </w:r>
            <w:r w:rsidRPr="439FED25">
              <w:rPr>
                <w:rFonts w:eastAsia="Arial"/>
                <w:b/>
                <w:bCs/>
                <w:sz w:val="16"/>
                <w:szCs w:val="16"/>
              </w:rPr>
              <w:t xml:space="preserve"> Table 5</w:t>
            </w:r>
          </w:p>
        </w:tc>
        <w:tc>
          <w:tcPr>
            <w:tcW w:w="922" w:type="dxa"/>
            <w:gridSpan w:val="2"/>
            <w:tcBorders>
              <w:top w:val="single" w:sz="6" w:space="0" w:color="auto"/>
              <w:left w:val="single" w:sz="6" w:space="0" w:color="auto"/>
              <w:bottom w:val="single" w:sz="6" w:space="0" w:color="auto"/>
              <w:right w:val="single" w:sz="6" w:space="0" w:color="auto"/>
            </w:tcBorders>
          </w:tcPr>
          <w:p w14:paraId="4260E8C1" w14:textId="549ACC64" w:rsidR="00013F5C" w:rsidRDefault="00013F5C" w:rsidP="00013F5C">
            <w:pPr>
              <w:spacing w:before="40" w:after="40"/>
              <w:jc w:val="left"/>
              <w:rPr>
                <w:rFonts w:eastAsia="Arial"/>
                <w:b/>
                <w:bCs/>
                <w:sz w:val="16"/>
                <w:szCs w:val="16"/>
              </w:rPr>
            </w:pPr>
            <w:r w:rsidRPr="186F6602">
              <w:rPr>
                <w:rFonts w:eastAsia="Arial"/>
                <w:b/>
                <w:bCs/>
                <w:sz w:val="16"/>
                <w:szCs w:val="16"/>
              </w:rPr>
              <w:t>82</w:t>
            </w:r>
          </w:p>
        </w:tc>
        <w:tc>
          <w:tcPr>
            <w:tcW w:w="980" w:type="dxa"/>
            <w:tcBorders>
              <w:top w:val="single" w:sz="6" w:space="0" w:color="auto"/>
              <w:left w:val="single" w:sz="6" w:space="0" w:color="auto"/>
              <w:bottom w:val="single" w:sz="6" w:space="0" w:color="auto"/>
              <w:right w:val="single" w:sz="6" w:space="0" w:color="auto"/>
            </w:tcBorders>
          </w:tcPr>
          <w:p w14:paraId="3FF158EB" w14:textId="51A00B45" w:rsidR="00013F5C" w:rsidRDefault="00013F5C" w:rsidP="00013F5C">
            <w:pPr>
              <w:spacing w:before="40" w:after="40"/>
              <w:jc w:val="left"/>
              <w:rPr>
                <w:rFonts w:eastAsia="Arial"/>
                <w:b/>
                <w:bCs/>
                <w:sz w:val="16"/>
                <w:szCs w:val="16"/>
              </w:rPr>
            </w:pPr>
            <w:proofErr w:type="spellStart"/>
            <w:r w:rsidRPr="186F6602">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3DD2D70" w14:textId="77777777" w:rsidR="00013F5C" w:rsidRPr="00941A70" w:rsidRDefault="00013F5C" w:rsidP="00013F5C">
            <w:pPr>
              <w:spacing w:before="40" w:after="40" w:line="276" w:lineRule="auto"/>
              <w:jc w:val="left"/>
              <w:rPr>
                <w:rFonts w:eastAsia="Arial"/>
                <w:b/>
                <w:bCs/>
                <w:sz w:val="16"/>
                <w:szCs w:val="16"/>
              </w:rPr>
            </w:pPr>
            <w:r w:rsidRPr="00941A70">
              <w:rPr>
                <w:rFonts w:eastAsia="Arial"/>
                <w:b/>
                <w:bCs/>
                <w:sz w:val="16"/>
                <w:szCs w:val="16"/>
              </w:rPr>
              <w:t>Results</w:t>
            </w:r>
          </w:p>
          <w:p w14:paraId="0E97D54F" w14:textId="29E5EEB8" w:rsidR="00013F5C" w:rsidRPr="00941A70" w:rsidRDefault="00013F5C" w:rsidP="00013F5C">
            <w:pPr>
              <w:spacing w:before="40" w:after="40"/>
              <w:jc w:val="left"/>
              <w:rPr>
                <w:rFonts w:eastAsia="Arial"/>
                <w:b/>
                <w:bCs/>
                <w:sz w:val="16"/>
                <w:szCs w:val="16"/>
              </w:rPr>
            </w:pPr>
            <w:r w:rsidRPr="00941A70">
              <w:rPr>
                <w:rFonts w:eastAsia="Arial"/>
                <w:sz w:val="16"/>
                <w:szCs w:val="16"/>
              </w:rPr>
              <w:t xml:space="preserve">The latest proposed </w:t>
            </w:r>
            <w:proofErr w:type="spellStart"/>
            <w:r w:rsidRPr="00941A70">
              <w:rPr>
                <w:rFonts w:eastAsia="Arial"/>
                <w:sz w:val="16"/>
                <w:szCs w:val="16"/>
              </w:rPr>
              <w:t>fNRB</w:t>
            </w:r>
            <w:proofErr w:type="spellEnd"/>
            <w:r w:rsidRPr="00941A70">
              <w:rPr>
                <w:rFonts w:eastAsia="Arial"/>
                <w:sz w:val="16"/>
                <w:szCs w:val="16"/>
              </w:rPr>
              <w:t xml:space="preserve"> numbers have drastically different ratio than the previous CDM defaults as well as the Q3 2023 </w:t>
            </w:r>
            <w:proofErr w:type="spellStart"/>
            <w:r w:rsidR="00847B1A">
              <w:rPr>
                <w:rFonts w:eastAsia="Arial"/>
                <w:sz w:val="16"/>
                <w:szCs w:val="16"/>
              </w:rPr>
              <w:t>MoFuSS</w:t>
            </w:r>
            <w:proofErr w:type="spellEnd"/>
            <w:r w:rsidRPr="00941A70">
              <w:rPr>
                <w:rFonts w:eastAsia="Arial"/>
                <w:sz w:val="16"/>
                <w:szCs w:val="16"/>
              </w:rPr>
              <w:t xml:space="preserve"> output.</w:t>
            </w:r>
          </w:p>
        </w:tc>
        <w:tc>
          <w:tcPr>
            <w:tcW w:w="4253" w:type="dxa"/>
            <w:tcBorders>
              <w:top w:val="single" w:sz="6" w:space="0" w:color="auto"/>
              <w:left w:val="single" w:sz="6" w:space="0" w:color="auto"/>
              <w:bottom w:val="single" w:sz="6" w:space="0" w:color="auto"/>
              <w:right w:val="single" w:sz="6" w:space="0" w:color="auto"/>
            </w:tcBorders>
          </w:tcPr>
          <w:p w14:paraId="27E391E7" w14:textId="39E1CBA4" w:rsidR="00013F5C" w:rsidRPr="00941A70" w:rsidRDefault="00013F5C" w:rsidP="00013F5C">
            <w:pPr>
              <w:spacing w:before="40" w:after="40"/>
              <w:jc w:val="left"/>
              <w:rPr>
                <w:rFonts w:eastAsia="Arial"/>
                <w:sz w:val="16"/>
                <w:szCs w:val="16"/>
              </w:rPr>
            </w:pPr>
            <w:r w:rsidRPr="00941A70">
              <w:rPr>
                <w:rFonts w:eastAsia="Arial"/>
                <w:sz w:val="16"/>
                <w:szCs w:val="16"/>
              </w:rPr>
              <w:t xml:space="preserve">These variations in the computation and final default </w:t>
            </w:r>
            <w:proofErr w:type="spellStart"/>
            <w:r w:rsidRPr="00941A70">
              <w:rPr>
                <w:rFonts w:eastAsia="Arial"/>
                <w:sz w:val="16"/>
                <w:szCs w:val="16"/>
              </w:rPr>
              <w:t>fNRB</w:t>
            </w:r>
            <w:proofErr w:type="spellEnd"/>
            <w:r w:rsidRPr="00941A70">
              <w:rPr>
                <w:rFonts w:eastAsia="Arial"/>
                <w:sz w:val="16"/>
                <w:szCs w:val="16"/>
              </w:rPr>
              <w:t xml:space="preserve"> values highlights the need for further and broader scientific engagement before any determinations on the matter are concluded.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8E2F30A" w14:textId="018DB7F3" w:rsidR="00013F5C" w:rsidRDefault="00013F5C" w:rsidP="00013F5C">
            <w:pPr>
              <w:spacing w:line="190" w:lineRule="exact"/>
              <w:jc w:val="left"/>
              <w:rPr>
                <w:b/>
                <w:bCs/>
                <w:sz w:val="16"/>
                <w:szCs w:val="16"/>
              </w:rPr>
            </w:pPr>
          </w:p>
        </w:tc>
      </w:tr>
      <w:tr w:rsidR="00013F5C" w14:paraId="291FAE6B"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C0CE08A" w14:textId="0C446799" w:rsidR="00013F5C" w:rsidRPr="4557113E" w:rsidRDefault="002C1B9B" w:rsidP="00013F5C">
            <w:pPr>
              <w:spacing w:line="190" w:lineRule="exact"/>
              <w:jc w:val="left"/>
              <w:rPr>
                <w:b/>
                <w:bCs/>
                <w:sz w:val="16"/>
                <w:szCs w:val="16"/>
              </w:rPr>
            </w:pPr>
            <w:r>
              <w:rPr>
                <w:b/>
                <w:bCs/>
                <w:sz w:val="16"/>
                <w:szCs w:val="16"/>
              </w:rPr>
              <w:t>35</w:t>
            </w:r>
          </w:p>
        </w:tc>
        <w:tc>
          <w:tcPr>
            <w:tcW w:w="1425" w:type="dxa"/>
            <w:tcBorders>
              <w:top w:val="single" w:sz="6" w:space="0" w:color="auto"/>
              <w:left w:val="single" w:sz="6" w:space="0" w:color="auto"/>
              <w:bottom w:val="single" w:sz="6" w:space="0" w:color="auto"/>
              <w:right w:val="single" w:sz="6" w:space="0" w:color="auto"/>
            </w:tcBorders>
          </w:tcPr>
          <w:p w14:paraId="550EDFA7" w14:textId="2F27FBC0" w:rsidR="00013F5C" w:rsidRPr="186F6602" w:rsidRDefault="00013F5C" w:rsidP="00013F5C">
            <w:pPr>
              <w:spacing w:before="40" w:after="40"/>
              <w:jc w:val="left"/>
              <w:rPr>
                <w:rFonts w:eastAsia="Arial"/>
                <w:b/>
                <w:bCs/>
                <w:sz w:val="16"/>
                <w:szCs w:val="16"/>
              </w:rPr>
            </w:pPr>
            <w:r w:rsidRPr="390B463E">
              <w:rPr>
                <w:rFonts w:eastAsia="Arial"/>
                <w:b/>
                <w:bCs/>
                <w:sz w:val="16"/>
                <w:szCs w:val="16"/>
              </w:rPr>
              <w:t xml:space="preserve">3.4 How sensitive are </w:t>
            </w:r>
            <w:proofErr w:type="spellStart"/>
            <w:r w:rsidR="00847B1A">
              <w:rPr>
                <w:rFonts w:eastAsia="Arial"/>
                <w:b/>
                <w:bCs/>
                <w:sz w:val="16"/>
                <w:szCs w:val="16"/>
              </w:rPr>
              <w:t>MoFuSS</w:t>
            </w:r>
            <w:proofErr w:type="spellEnd"/>
            <w:r w:rsidRPr="390B463E">
              <w:rPr>
                <w:rFonts w:eastAsia="Arial"/>
                <w:b/>
                <w:bCs/>
                <w:sz w:val="16"/>
                <w:szCs w:val="16"/>
              </w:rPr>
              <w:t xml:space="preserve"> </w:t>
            </w:r>
            <w:proofErr w:type="spellStart"/>
            <w:r w:rsidRPr="390B463E">
              <w:rPr>
                <w:rFonts w:eastAsia="Arial"/>
                <w:b/>
                <w:bCs/>
                <w:sz w:val="16"/>
                <w:szCs w:val="16"/>
              </w:rPr>
              <w:t>fNRB</w:t>
            </w:r>
            <w:proofErr w:type="spellEnd"/>
            <w:r w:rsidRPr="390B463E">
              <w:rPr>
                <w:rFonts w:eastAsia="Arial"/>
                <w:b/>
                <w:bCs/>
                <w:sz w:val="16"/>
                <w:szCs w:val="16"/>
              </w:rPr>
              <w:t xml:space="preserve"> results to input </w:t>
            </w:r>
            <w:proofErr w:type="gramStart"/>
            <w:r w:rsidRPr="390B463E">
              <w:rPr>
                <w:rFonts w:eastAsia="Arial"/>
                <w:b/>
                <w:bCs/>
                <w:sz w:val="16"/>
                <w:szCs w:val="16"/>
              </w:rPr>
              <w:t>parameters</w:t>
            </w:r>
            <w:r w:rsidRPr="7FBE4603">
              <w:rPr>
                <w:rFonts w:eastAsia="Arial"/>
                <w:b/>
                <w:bCs/>
                <w:sz w:val="16"/>
                <w:szCs w:val="16"/>
              </w:rPr>
              <w:t>?,</w:t>
            </w:r>
            <w:proofErr w:type="gramEnd"/>
            <w:r w:rsidRPr="7FBE4603">
              <w:rPr>
                <w:rFonts w:eastAsia="Arial"/>
                <w:b/>
                <w:bCs/>
                <w:sz w:val="16"/>
                <w:szCs w:val="16"/>
              </w:rPr>
              <w:t xml:space="preserve"> Para </w:t>
            </w:r>
            <w:r w:rsidRPr="5A26E22F">
              <w:rPr>
                <w:rFonts w:eastAsia="Arial"/>
                <w:b/>
                <w:bCs/>
                <w:sz w:val="16"/>
                <w:szCs w:val="16"/>
              </w:rPr>
              <w:t>90</w:t>
            </w:r>
          </w:p>
        </w:tc>
        <w:tc>
          <w:tcPr>
            <w:tcW w:w="922" w:type="dxa"/>
            <w:gridSpan w:val="2"/>
            <w:tcBorders>
              <w:top w:val="single" w:sz="6" w:space="0" w:color="auto"/>
              <w:left w:val="single" w:sz="6" w:space="0" w:color="auto"/>
              <w:bottom w:val="single" w:sz="6" w:space="0" w:color="auto"/>
              <w:right w:val="single" w:sz="6" w:space="0" w:color="auto"/>
            </w:tcBorders>
          </w:tcPr>
          <w:p w14:paraId="36A6FB7C" w14:textId="23A12FA3" w:rsidR="00013F5C" w:rsidRPr="186F6602" w:rsidRDefault="00013F5C" w:rsidP="00013F5C">
            <w:pPr>
              <w:spacing w:before="40" w:after="40"/>
              <w:jc w:val="left"/>
              <w:rPr>
                <w:rFonts w:eastAsia="Arial"/>
                <w:b/>
                <w:bCs/>
                <w:sz w:val="16"/>
                <w:szCs w:val="16"/>
              </w:rPr>
            </w:pPr>
            <w:r w:rsidRPr="186F6602">
              <w:rPr>
                <w:rFonts w:eastAsia="Arial"/>
                <w:b/>
                <w:bCs/>
                <w:sz w:val="16"/>
                <w:szCs w:val="16"/>
              </w:rPr>
              <w:t xml:space="preserve"> </w:t>
            </w:r>
            <w:r w:rsidRPr="1A3F665E">
              <w:rPr>
                <w:rFonts w:eastAsia="Arial"/>
                <w:b/>
                <w:bCs/>
                <w:sz w:val="16"/>
                <w:szCs w:val="16"/>
              </w:rPr>
              <w:t>90</w:t>
            </w:r>
          </w:p>
        </w:tc>
        <w:tc>
          <w:tcPr>
            <w:tcW w:w="980" w:type="dxa"/>
            <w:tcBorders>
              <w:top w:val="single" w:sz="6" w:space="0" w:color="auto"/>
              <w:left w:val="single" w:sz="6" w:space="0" w:color="auto"/>
              <w:bottom w:val="single" w:sz="6" w:space="0" w:color="auto"/>
              <w:right w:val="single" w:sz="6" w:space="0" w:color="auto"/>
            </w:tcBorders>
          </w:tcPr>
          <w:p w14:paraId="3F0A9A84" w14:textId="79AD466B" w:rsidR="00013F5C" w:rsidRPr="186F6602" w:rsidRDefault="00013F5C" w:rsidP="00013F5C">
            <w:pPr>
              <w:spacing w:before="40" w:after="40"/>
              <w:jc w:val="left"/>
              <w:rPr>
                <w:rFonts w:eastAsia="Arial"/>
                <w:b/>
                <w:bCs/>
                <w:sz w:val="16"/>
                <w:szCs w:val="16"/>
              </w:rPr>
            </w:pPr>
            <w:proofErr w:type="spellStart"/>
            <w:r w:rsidRPr="186F6602">
              <w:rPr>
                <w:rFonts w:eastAsia="Arial"/>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A90D19D" w14:textId="0790D109" w:rsidR="00013F5C" w:rsidRPr="00941A70" w:rsidRDefault="00013F5C" w:rsidP="00013F5C">
            <w:pPr>
              <w:jc w:val="left"/>
              <w:rPr>
                <w:rFonts w:eastAsia="Arial"/>
                <w:b/>
                <w:bCs/>
                <w:sz w:val="16"/>
                <w:szCs w:val="16"/>
              </w:rPr>
            </w:pPr>
            <w:r w:rsidRPr="00941A70">
              <w:rPr>
                <w:rFonts w:eastAsia="Arial"/>
                <w:b/>
                <w:bCs/>
                <w:sz w:val="16"/>
                <w:szCs w:val="16"/>
              </w:rPr>
              <w:t xml:space="preserve">Sensitivity </w:t>
            </w:r>
          </w:p>
          <w:p w14:paraId="4E18910D" w14:textId="77777777" w:rsidR="00013F5C" w:rsidRPr="00941A70" w:rsidRDefault="00013F5C" w:rsidP="00013F5C">
            <w:pPr>
              <w:jc w:val="left"/>
              <w:rPr>
                <w:rFonts w:eastAsia="Arial"/>
                <w:sz w:val="16"/>
                <w:szCs w:val="16"/>
              </w:rPr>
            </w:pPr>
          </w:p>
          <w:p w14:paraId="07737EA5" w14:textId="52EA88D9" w:rsidR="00013F5C" w:rsidRPr="00941A70" w:rsidRDefault="00013F5C" w:rsidP="00013F5C">
            <w:pPr>
              <w:jc w:val="left"/>
              <w:rPr>
                <w:rFonts w:eastAsia="Arial"/>
                <w:sz w:val="16"/>
                <w:szCs w:val="16"/>
              </w:rPr>
            </w:pPr>
            <w:r w:rsidRPr="00941A70">
              <w:rPr>
                <w:rFonts w:eastAsia="Arial"/>
                <w:sz w:val="16"/>
                <w:szCs w:val="16"/>
              </w:rPr>
              <w:t xml:space="preserve">As part of this update, five simulations were run while varying respective input parameters to determine their impact on the </w:t>
            </w:r>
            <w:proofErr w:type="spellStart"/>
            <w:r w:rsidRPr="00941A70">
              <w:rPr>
                <w:rFonts w:eastAsia="Arial"/>
                <w:sz w:val="16"/>
                <w:szCs w:val="16"/>
              </w:rPr>
              <w:t>fNRB</w:t>
            </w:r>
            <w:proofErr w:type="spellEnd"/>
            <w:r w:rsidRPr="00941A70">
              <w:rPr>
                <w:rFonts w:eastAsia="Arial"/>
                <w:sz w:val="16"/>
                <w:szCs w:val="16"/>
              </w:rPr>
              <w:t xml:space="preserve"> results. However, no simulation where woody consumption was varied was conducted, which would have been a good opportunity to see how much consumption affects the model outputs.</w:t>
            </w:r>
          </w:p>
          <w:p w14:paraId="74CE3882" w14:textId="77777777" w:rsidR="00013F5C" w:rsidRPr="00941A70" w:rsidRDefault="00013F5C" w:rsidP="00013F5C">
            <w:pPr>
              <w:jc w:val="left"/>
              <w:rPr>
                <w:rFonts w:eastAsia="Arial"/>
                <w:sz w:val="16"/>
                <w:szCs w:val="16"/>
              </w:rPr>
            </w:pPr>
          </w:p>
          <w:p w14:paraId="265AD8C0" w14:textId="58DDDB5F" w:rsidR="00013F5C" w:rsidRPr="00941A70" w:rsidRDefault="00013F5C" w:rsidP="00013F5C">
            <w:pPr>
              <w:jc w:val="left"/>
              <w:rPr>
                <w:rFonts w:eastAsia="Arial"/>
                <w:sz w:val="16"/>
                <w:szCs w:val="16"/>
              </w:rPr>
            </w:pPr>
            <w:r w:rsidRPr="00941A70">
              <w:rPr>
                <w:rFonts w:eastAsia="Arial"/>
                <w:sz w:val="16"/>
                <w:szCs w:val="16"/>
              </w:rPr>
              <w:t xml:space="preserve">For instance, it is stated in Paragraph 12 of Appendix 3 that there are several reasons for differences between </w:t>
            </w:r>
            <w:proofErr w:type="spellStart"/>
            <w:r w:rsidRPr="00941A70">
              <w:rPr>
                <w:rFonts w:eastAsia="Arial"/>
                <w:sz w:val="16"/>
                <w:szCs w:val="16"/>
              </w:rPr>
              <w:t>fNRB</w:t>
            </w:r>
            <w:proofErr w:type="spellEnd"/>
            <w:r w:rsidRPr="00941A70">
              <w:rPr>
                <w:rFonts w:eastAsia="Arial"/>
                <w:sz w:val="16"/>
                <w:szCs w:val="16"/>
              </w:rPr>
              <w:t xml:space="preserve"> values generated by WISDOM (2015) and </w:t>
            </w:r>
            <w:proofErr w:type="spellStart"/>
            <w:r w:rsidR="00847B1A">
              <w:rPr>
                <w:rFonts w:eastAsia="Arial"/>
                <w:sz w:val="16"/>
                <w:szCs w:val="16"/>
              </w:rPr>
              <w:t>MoFuSS</w:t>
            </w:r>
            <w:proofErr w:type="spellEnd"/>
            <w:r w:rsidRPr="00941A70">
              <w:rPr>
                <w:rFonts w:eastAsia="Arial"/>
                <w:sz w:val="16"/>
                <w:szCs w:val="16"/>
              </w:rPr>
              <w:t>. And that “</w:t>
            </w:r>
            <w:r w:rsidRPr="00941A70">
              <w:rPr>
                <w:rFonts w:eastAsia="Arial"/>
                <w:i/>
                <w:iCs/>
                <w:sz w:val="16"/>
                <w:szCs w:val="16"/>
              </w:rPr>
              <w:t xml:space="preserve">while the underlying concepts of the WISDOM and </w:t>
            </w:r>
            <w:proofErr w:type="spellStart"/>
            <w:r w:rsidR="00847B1A">
              <w:rPr>
                <w:rFonts w:eastAsia="Arial"/>
                <w:i/>
                <w:iCs/>
                <w:sz w:val="16"/>
                <w:szCs w:val="16"/>
              </w:rPr>
              <w:t>MoFuSS</w:t>
            </w:r>
            <w:proofErr w:type="spellEnd"/>
            <w:r w:rsidRPr="00941A70">
              <w:rPr>
                <w:rFonts w:eastAsia="Arial"/>
                <w:i/>
                <w:iCs/>
                <w:sz w:val="16"/>
                <w:szCs w:val="16"/>
              </w:rPr>
              <w:t xml:space="preserve"> models are similar, the input data vary substantially. For example, […], our estimates of </w:t>
            </w:r>
            <w:proofErr w:type="spellStart"/>
            <w:r w:rsidRPr="00941A70">
              <w:rPr>
                <w:rFonts w:eastAsia="Arial"/>
                <w:i/>
                <w:iCs/>
                <w:sz w:val="16"/>
                <w:szCs w:val="16"/>
              </w:rPr>
              <w:t>woodfuel</w:t>
            </w:r>
            <w:proofErr w:type="spellEnd"/>
            <w:r w:rsidRPr="00941A70">
              <w:rPr>
                <w:rFonts w:eastAsia="Arial"/>
                <w:i/>
                <w:iCs/>
                <w:sz w:val="16"/>
                <w:szCs w:val="16"/>
              </w:rPr>
              <w:t xml:space="preserve"> consumption are only moderately correlated with the estimates from the 2015 [WISDOM] study</w:t>
            </w:r>
            <w:r w:rsidRPr="00941A70">
              <w:rPr>
                <w:rFonts w:eastAsia="Arial"/>
                <w:sz w:val="16"/>
                <w:szCs w:val="16"/>
              </w:rPr>
              <w:t xml:space="preserve">.” This potentially indicates that consumption data can have a significant impact on the </w:t>
            </w:r>
            <w:proofErr w:type="spellStart"/>
            <w:r w:rsidRPr="00941A70">
              <w:rPr>
                <w:rFonts w:eastAsia="Arial"/>
                <w:sz w:val="16"/>
                <w:szCs w:val="16"/>
              </w:rPr>
              <w:t>fNRB</w:t>
            </w:r>
            <w:proofErr w:type="spellEnd"/>
            <w:r w:rsidRPr="00941A70">
              <w:rPr>
                <w:rFonts w:eastAsia="Arial"/>
                <w:sz w:val="16"/>
                <w:szCs w:val="16"/>
              </w:rPr>
              <w:t xml:space="preserve"> results and consequently variation in this parameter should properly be considered.</w:t>
            </w:r>
          </w:p>
          <w:p w14:paraId="14D684F6" w14:textId="063A0B9B" w:rsidR="00013F5C" w:rsidRPr="00941A70" w:rsidRDefault="00013F5C" w:rsidP="00013F5C">
            <w:pPr>
              <w:spacing w:before="40" w:after="40"/>
              <w:jc w:val="left"/>
              <w:rPr>
                <w:rFonts w:eastAsia="Arial"/>
                <w:sz w:val="16"/>
                <w:szCs w:val="16"/>
              </w:rPr>
            </w:pPr>
            <w:r w:rsidRPr="00941A70">
              <w:rPr>
                <w:rFonts w:eastAsia="Arial"/>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04B77E07" w14:textId="7BDBE237" w:rsidR="00013F5C" w:rsidRPr="00941A70" w:rsidRDefault="00013F5C" w:rsidP="00013F5C">
            <w:pPr>
              <w:spacing w:before="40" w:after="40"/>
              <w:jc w:val="left"/>
              <w:rPr>
                <w:rFonts w:eastAsia="Arial"/>
                <w:sz w:val="16"/>
                <w:szCs w:val="16"/>
              </w:rPr>
            </w:pPr>
            <w:r w:rsidRPr="00941A70">
              <w:rPr>
                <w:rFonts w:eastAsia="Arial"/>
                <w:sz w:val="16"/>
                <w:szCs w:val="16"/>
              </w:rPr>
              <w:t xml:space="preserve">We suggest that simulations where woody consumption is varied are also run (see related comment below), since this is one of the most important variables for the estimation of </w:t>
            </w:r>
            <w:proofErr w:type="spellStart"/>
            <w:r w:rsidRPr="00941A70">
              <w:rPr>
                <w:rFonts w:eastAsia="Arial"/>
                <w:sz w:val="16"/>
                <w:szCs w:val="16"/>
              </w:rPr>
              <w:t>fNRB</w:t>
            </w:r>
            <w:proofErr w:type="spellEnd"/>
            <w:r w:rsidRPr="00941A70">
              <w:rPr>
                <w:rFonts w:eastAsia="Arial"/>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E6A8FEA" w14:textId="77777777" w:rsidR="00013F5C" w:rsidRDefault="00013F5C" w:rsidP="00013F5C">
            <w:pPr>
              <w:spacing w:line="190" w:lineRule="exact"/>
              <w:jc w:val="left"/>
              <w:rPr>
                <w:b/>
                <w:bCs/>
                <w:sz w:val="16"/>
                <w:szCs w:val="16"/>
              </w:rPr>
            </w:pPr>
          </w:p>
        </w:tc>
      </w:tr>
      <w:tr w:rsidR="00013F5C" w14:paraId="58012BF2"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3F73115E" w14:textId="394CD5FE" w:rsidR="00013F5C" w:rsidRPr="4557113E" w:rsidRDefault="002C1B9B" w:rsidP="00013F5C">
            <w:pPr>
              <w:spacing w:line="190" w:lineRule="exact"/>
              <w:jc w:val="left"/>
              <w:rPr>
                <w:b/>
                <w:bCs/>
                <w:sz w:val="16"/>
                <w:szCs w:val="16"/>
              </w:rPr>
            </w:pPr>
            <w:r>
              <w:rPr>
                <w:b/>
                <w:bCs/>
                <w:sz w:val="16"/>
                <w:szCs w:val="16"/>
              </w:rPr>
              <w:t>36</w:t>
            </w:r>
          </w:p>
        </w:tc>
        <w:tc>
          <w:tcPr>
            <w:tcW w:w="1425" w:type="dxa"/>
            <w:tcBorders>
              <w:top w:val="single" w:sz="6" w:space="0" w:color="auto"/>
              <w:left w:val="single" w:sz="6" w:space="0" w:color="auto"/>
              <w:bottom w:val="single" w:sz="6" w:space="0" w:color="auto"/>
              <w:right w:val="single" w:sz="6" w:space="0" w:color="auto"/>
            </w:tcBorders>
          </w:tcPr>
          <w:p w14:paraId="3C6E1C77" w14:textId="6E54A808" w:rsidR="00013F5C" w:rsidRPr="186F6602" w:rsidRDefault="00013F5C" w:rsidP="00013F5C">
            <w:pPr>
              <w:spacing w:before="40" w:after="40"/>
              <w:jc w:val="left"/>
              <w:rPr>
                <w:rFonts w:eastAsia="Arial"/>
                <w:b/>
                <w:bCs/>
                <w:sz w:val="16"/>
                <w:szCs w:val="16"/>
              </w:rPr>
            </w:pPr>
            <w:r w:rsidRPr="58D9810E">
              <w:rPr>
                <w:b/>
                <w:bCs/>
                <w:sz w:val="16"/>
                <w:szCs w:val="16"/>
              </w:rPr>
              <w:t xml:space="preserve">3.4 How sensitive are </w:t>
            </w:r>
            <w:proofErr w:type="spellStart"/>
            <w:r w:rsidR="00847B1A">
              <w:rPr>
                <w:b/>
                <w:bCs/>
                <w:sz w:val="16"/>
                <w:szCs w:val="16"/>
              </w:rPr>
              <w:t>MoFuSS</w:t>
            </w:r>
            <w:proofErr w:type="spellEnd"/>
            <w:r w:rsidRPr="58D9810E">
              <w:rPr>
                <w:b/>
                <w:bCs/>
                <w:sz w:val="16"/>
                <w:szCs w:val="16"/>
              </w:rPr>
              <w:t xml:space="preserve"> </w:t>
            </w:r>
            <w:proofErr w:type="spellStart"/>
            <w:r w:rsidRPr="58D9810E">
              <w:rPr>
                <w:b/>
                <w:bCs/>
                <w:sz w:val="16"/>
                <w:szCs w:val="16"/>
              </w:rPr>
              <w:t>fNRB</w:t>
            </w:r>
            <w:proofErr w:type="spellEnd"/>
            <w:r w:rsidRPr="58D9810E">
              <w:rPr>
                <w:b/>
                <w:bCs/>
                <w:sz w:val="16"/>
                <w:szCs w:val="16"/>
              </w:rPr>
              <w:t xml:space="preserve"> results to input </w:t>
            </w:r>
            <w:proofErr w:type="gramStart"/>
            <w:r w:rsidRPr="58D9810E">
              <w:rPr>
                <w:b/>
                <w:bCs/>
                <w:sz w:val="16"/>
                <w:szCs w:val="16"/>
              </w:rPr>
              <w:t>parameters</w:t>
            </w:r>
            <w:r w:rsidRPr="7FA2EAEF">
              <w:rPr>
                <w:b/>
                <w:bCs/>
                <w:sz w:val="16"/>
                <w:szCs w:val="16"/>
              </w:rPr>
              <w:t>?,</w:t>
            </w:r>
            <w:proofErr w:type="gramEnd"/>
            <w:r w:rsidRPr="460A1C43">
              <w:rPr>
                <w:b/>
                <w:bCs/>
                <w:sz w:val="16"/>
                <w:szCs w:val="16"/>
              </w:rPr>
              <w:t xml:space="preserve"> Para </w:t>
            </w:r>
            <w:r w:rsidRPr="38BED10E">
              <w:rPr>
                <w:b/>
                <w:bCs/>
                <w:sz w:val="16"/>
                <w:szCs w:val="16"/>
              </w:rPr>
              <w:t>92</w:t>
            </w:r>
          </w:p>
        </w:tc>
        <w:tc>
          <w:tcPr>
            <w:tcW w:w="922" w:type="dxa"/>
            <w:gridSpan w:val="2"/>
            <w:tcBorders>
              <w:top w:val="single" w:sz="6" w:space="0" w:color="auto"/>
              <w:left w:val="single" w:sz="6" w:space="0" w:color="auto"/>
              <w:bottom w:val="single" w:sz="6" w:space="0" w:color="auto"/>
              <w:right w:val="single" w:sz="6" w:space="0" w:color="auto"/>
            </w:tcBorders>
          </w:tcPr>
          <w:p w14:paraId="6746C87C" w14:textId="6EEED99A" w:rsidR="00013F5C" w:rsidRPr="186F6602" w:rsidRDefault="00013F5C" w:rsidP="00013F5C">
            <w:pPr>
              <w:spacing w:before="40" w:after="40"/>
              <w:jc w:val="left"/>
              <w:rPr>
                <w:rFonts w:eastAsia="Arial"/>
                <w:b/>
                <w:bCs/>
                <w:sz w:val="16"/>
                <w:szCs w:val="16"/>
              </w:rPr>
            </w:pPr>
            <w:r w:rsidRPr="186F6602">
              <w:rPr>
                <w:b/>
                <w:bCs/>
                <w:sz w:val="16"/>
                <w:szCs w:val="16"/>
              </w:rPr>
              <w:t>92</w:t>
            </w:r>
          </w:p>
        </w:tc>
        <w:tc>
          <w:tcPr>
            <w:tcW w:w="980" w:type="dxa"/>
            <w:tcBorders>
              <w:top w:val="single" w:sz="6" w:space="0" w:color="auto"/>
              <w:left w:val="single" w:sz="6" w:space="0" w:color="auto"/>
              <w:bottom w:val="single" w:sz="6" w:space="0" w:color="auto"/>
              <w:right w:val="single" w:sz="6" w:space="0" w:color="auto"/>
            </w:tcBorders>
          </w:tcPr>
          <w:p w14:paraId="21863349" w14:textId="5C1EEA6C" w:rsidR="00013F5C" w:rsidRPr="186F6602" w:rsidRDefault="00013F5C" w:rsidP="00013F5C">
            <w:pPr>
              <w:spacing w:before="40" w:after="40"/>
              <w:jc w:val="left"/>
              <w:rPr>
                <w:rFonts w:eastAsia="Arial"/>
                <w:b/>
                <w:bCs/>
                <w:sz w:val="16"/>
                <w:szCs w:val="16"/>
              </w:rPr>
            </w:pPr>
            <w:proofErr w:type="spellStart"/>
            <w:r w:rsidRPr="186F6602">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AFDB680" w14:textId="77777777" w:rsidR="00013F5C" w:rsidRPr="00941A70" w:rsidRDefault="00013F5C" w:rsidP="00013F5C">
            <w:pPr>
              <w:jc w:val="left"/>
              <w:rPr>
                <w:rFonts w:eastAsia="Arial"/>
                <w:b/>
                <w:bCs/>
                <w:sz w:val="16"/>
                <w:szCs w:val="16"/>
              </w:rPr>
            </w:pPr>
            <w:r w:rsidRPr="00941A70">
              <w:rPr>
                <w:rFonts w:eastAsia="Arial"/>
                <w:b/>
                <w:bCs/>
                <w:sz w:val="16"/>
                <w:szCs w:val="16"/>
              </w:rPr>
              <w:t xml:space="preserve">Sensitivity </w:t>
            </w:r>
          </w:p>
          <w:p w14:paraId="1EB13C92" w14:textId="7E9CC8EB" w:rsidR="00013F5C" w:rsidRPr="00941A70" w:rsidRDefault="00013F5C" w:rsidP="00013F5C">
            <w:pPr>
              <w:spacing w:before="40" w:after="40"/>
              <w:jc w:val="left"/>
              <w:rPr>
                <w:sz w:val="16"/>
                <w:szCs w:val="16"/>
              </w:rPr>
            </w:pPr>
            <w:r w:rsidRPr="00941A70">
              <w:rPr>
                <w:sz w:val="16"/>
                <w:szCs w:val="16"/>
              </w:rPr>
              <w:t>“</w:t>
            </w:r>
            <w:r w:rsidRPr="00941A70">
              <w:rPr>
                <w:i/>
                <w:iCs/>
                <w:sz w:val="16"/>
                <w:szCs w:val="16"/>
              </w:rPr>
              <w:t xml:space="preserve">Regarding the second factor, we are planning to improve </w:t>
            </w:r>
            <w:proofErr w:type="spellStart"/>
            <w:r w:rsidR="00847B1A">
              <w:rPr>
                <w:i/>
                <w:iCs/>
                <w:sz w:val="16"/>
                <w:szCs w:val="16"/>
              </w:rPr>
              <w:t>MoFuSS</w:t>
            </w:r>
            <w:proofErr w:type="spellEnd"/>
            <w:r w:rsidRPr="00941A70">
              <w:rPr>
                <w:i/>
                <w:iCs/>
                <w:sz w:val="16"/>
                <w:szCs w:val="16"/>
              </w:rPr>
              <w:t xml:space="preserve"> to better accommodate the errors inherent in large spatial AGB maps; however, this is still a work in progress and was not prepared for this assessment”.</w:t>
            </w:r>
            <w:r w:rsidRPr="00941A70">
              <w:rPr>
                <w:sz w:val="16"/>
                <w:szCs w:val="16"/>
              </w:rPr>
              <w:t xml:space="preserve"> </w:t>
            </w:r>
          </w:p>
          <w:p w14:paraId="346A4320" w14:textId="05697287" w:rsidR="00013F5C" w:rsidRPr="00941A70" w:rsidRDefault="00013F5C" w:rsidP="00013F5C">
            <w:pPr>
              <w:spacing w:before="40" w:after="40"/>
              <w:jc w:val="left"/>
              <w:rPr>
                <w:sz w:val="16"/>
                <w:szCs w:val="16"/>
              </w:rPr>
            </w:pPr>
            <w:r w:rsidRPr="00941A70">
              <w:rPr>
                <w:sz w:val="16"/>
                <w:szCs w:val="16"/>
              </w:rPr>
              <w:t xml:space="preserve">The comment indicates that the </w:t>
            </w:r>
            <w:proofErr w:type="spellStart"/>
            <w:r w:rsidR="00847B1A">
              <w:rPr>
                <w:sz w:val="16"/>
                <w:szCs w:val="16"/>
              </w:rPr>
              <w:t>MoFuSS</w:t>
            </w:r>
            <w:proofErr w:type="spellEnd"/>
            <w:r w:rsidRPr="00941A70">
              <w:rPr>
                <w:sz w:val="16"/>
                <w:szCs w:val="16"/>
              </w:rPr>
              <w:t xml:space="preserve"> values are still in preparation and not yet final. If this is going to be amended/changed what effect will that have on the </w:t>
            </w:r>
            <w:proofErr w:type="spellStart"/>
            <w:r w:rsidRPr="00941A70">
              <w:rPr>
                <w:sz w:val="16"/>
                <w:szCs w:val="16"/>
              </w:rPr>
              <w:t>fNRB</w:t>
            </w:r>
            <w:proofErr w:type="spellEnd"/>
            <w:r w:rsidRPr="00941A70">
              <w:rPr>
                <w:sz w:val="16"/>
                <w:szCs w:val="16"/>
              </w:rPr>
              <w:t xml:space="preserve"> values? A large affect would call into question the validity of the current values. </w:t>
            </w:r>
          </w:p>
        </w:tc>
        <w:tc>
          <w:tcPr>
            <w:tcW w:w="4253" w:type="dxa"/>
            <w:tcBorders>
              <w:top w:val="single" w:sz="6" w:space="0" w:color="auto"/>
              <w:left w:val="single" w:sz="6" w:space="0" w:color="auto"/>
              <w:bottom w:val="single" w:sz="6" w:space="0" w:color="auto"/>
              <w:right w:val="single" w:sz="6" w:space="0" w:color="auto"/>
            </w:tcBorders>
          </w:tcPr>
          <w:p w14:paraId="6B9DE0AA" w14:textId="0211C477" w:rsidR="00013F5C" w:rsidRPr="00941A70" w:rsidRDefault="00013F5C" w:rsidP="00013F5C">
            <w:pPr>
              <w:spacing w:before="40" w:after="40"/>
              <w:jc w:val="left"/>
              <w:rPr>
                <w:rFonts w:eastAsia="Arial"/>
                <w:sz w:val="16"/>
                <w:szCs w:val="16"/>
              </w:rPr>
            </w:pPr>
            <w:r w:rsidRPr="00941A70">
              <w:rPr>
                <w:sz w:val="16"/>
                <w:szCs w:val="16"/>
              </w:rPr>
              <w:t xml:space="preserve">We recommend the UNFCC provides further funding to finalise the validation before the numbers are finalised. Provide more funding and time to the </w:t>
            </w:r>
            <w:proofErr w:type="spellStart"/>
            <w:r w:rsidR="00847B1A">
              <w:rPr>
                <w:sz w:val="16"/>
                <w:szCs w:val="16"/>
              </w:rPr>
              <w:t>MoFuSS</w:t>
            </w:r>
            <w:proofErr w:type="spellEnd"/>
            <w:r w:rsidRPr="00941A70">
              <w:rPr>
                <w:sz w:val="16"/>
                <w:szCs w:val="16"/>
              </w:rPr>
              <w:t xml:space="preserve"> authors to complete the study and submit the most accurate and up to date values for public consultation.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2C0C2E2" w14:textId="77777777" w:rsidR="00013F5C" w:rsidRDefault="00013F5C" w:rsidP="00013F5C">
            <w:pPr>
              <w:spacing w:line="190" w:lineRule="exact"/>
              <w:jc w:val="left"/>
              <w:rPr>
                <w:b/>
                <w:bCs/>
                <w:sz w:val="16"/>
                <w:szCs w:val="16"/>
              </w:rPr>
            </w:pPr>
          </w:p>
        </w:tc>
      </w:tr>
      <w:tr w:rsidR="00013F5C" w14:paraId="0FA292AF"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4E9C703C" w14:textId="5B3D1A15" w:rsidR="00013F5C" w:rsidRDefault="002C1B9B" w:rsidP="00013F5C">
            <w:pPr>
              <w:spacing w:line="190" w:lineRule="exact"/>
              <w:jc w:val="left"/>
              <w:rPr>
                <w:b/>
                <w:bCs/>
                <w:sz w:val="16"/>
                <w:szCs w:val="16"/>
              </w:rPr>
            </w:pPr>
            <w:r>
              <w:rPr>
                <w:b/>
                <w:bCs/>
                <w:sz w:val="16"/>
                <w:szCs w:val="16"/>
              </w:rPr>
              <w:lastRenderedPageBreak/>
              <w:t>37</w:t>
            </w:r>
          </w:p>
        </w:tc>
        <w:tc>
          <w:tcPr>
            <w:tcW w:w="1425" w:type="dxa"/>
            <w:tcBorders>
              <w:top w:val="single" w:sz="6" w:space="0" w:color="auto"/>
              <w:left w:val="single" w:sz="6" w:space="0" w:color="auto"/>
              <w:bottom w:val="single" w:sz="6" w:space="0" w:color="auto"/>
              <w:right w:val="single" w:sz="6" w:space="0" w:color="auto"/>
            </w:tcBorders>
          </w:tcPr>
          <w:p w14:paraId="0C017FFF" w14:textId="68EFD936" w:rsidR="00013F5C" w:rsidRDefault="00013F5C" w:rsidP="00013F5C">
            <w:pPr>
              <w:jc w:val="left"/>
              <w:rPr>
                <w:rFonts w:eastAsia="Arial"/>
                <w:b/>
                <w:bCs/>
                <w:sz w:val="16"/>
                <w:szCs w:val="16"/>
              </w:rPr>
            </w:pPr>
            <w:r w:rsidRPr="1D62D38E">
              <w:rPr>
                <w:rFonts w:eastAsia="Arial"/>
                <w:b/>
                <w:bCs/>
                <w:sz w:val="16"/>
                <w:szCs w:val="16"/>
              </w:rPr>
              <w:t xml:space="preserve">3.7 </w:t>
            </w:r>
            <w:r>
              <w:rPr>
                <w:rFonts w:eastAsia="Arial"/>
                <w:b/>
                <w:bCs/>
                <w:sz w:val="16"/>
                <w:szCs w:val="16"/>
              </w:rPr>
              <w:t xml:space="preserve">Addressing large differences between Oct 2023 and </w:t>
            </w:r>
            <w:r w:rsidRPr="1D62D38E">
              <w:rPr>
                <w:rFonts w:eastAsia="Arial"/>
                <w:b/>
                <w:bCs/>
                <w:sz w:val="16"/>
                <w:szCs w:val="16"/>
              </w:rPr>
              <w:t xml:space="preserve">the </w:t>
            </w:r>
            <w:r>
              <w:rPr>
                <w:rFonts w:eastAsia="Arial"/>
                <w:b/>
                <w:bCs/>
                <w:sz w:val="16"/>
                <w:szCs w:val="16"/>
              </w:rPr>
              <w:t>current release</w:t>
            </w:r>
            <w:r w:rsidRPr="1D62D38E">
              <w:rPr>
                <w:rFonts w:eastAsia="Arial"/>
                <w:b/>
                <w:bCs/>
                <w:sz w:val="16"/>
                <w:szCs w:val="16"/>
              </w:rPr>
              <w:t>,</w:t>
            </w:r>
            <w:r>
              <w:rPr>
                <w:rFonts w:eastAsia="Arial"/>
                <w:b/>
                <w:bCs/>
                <w:sz w:val="16"/>
                <w:szCs w:val="16"/>
              </w:rPr>
              <w:t xml:space="preserve"> Para</w:t>
            </w:r>
            <w:r w:rsidRPr="75CB6915">
              <w:rPr>
                <w:rFonts w:eastAsia="Arial"/>
                <w:b/>
                <w:bCs/>
                <w:sz w:val="16"/>
                <w:szCs w:val="16"/>
              </w:rPr>
              <w:t xml:space="preserve"> 105</w:t>
            </w:r>
          </w:p>
        </w:tc>
        <w:tc>
          <w:tcPr>
            <w:tcW w:w="922" w:type="dxa"/>
            <w:gridSpan w:val="2"/>
            <w:tcBorders>
              <w:top w:val="single" w:sz="6" w:space="0" w:color="auto"/>
              <w:left w:val="single" w:sz="6" w:space="0" w:color="auto"/>
              <w:bottom w:val="single" w:sz="6" w:space="0" w:color="auto"/>
              <w:right w:val="single" w:sz="6" w:space="0" w:color="auto"/>
            </w:tcBorders>
          </w:tcPr>
          <w:p w14:paraId="72307941" w14:textId="053AF951" w:rsidR="00013F5C" w:rsidRDefault="00013F5C" w:rsidP="00013F5C">
            <w:pPr>
              <w:jc w:val="left"/>
              <w:rPr>
                <w:rFonts w:eastAsia="Arial"/>
                <w:b/>
                <w:bCs/>
                <w:sz w:val="16"/>
                <w:szCs w:val="16"/>
              </w:rPr>
            </w:pPr>
            <w:r>
              <w:rPr>
                <w:rFonts w:eastAsia="Arial"/>
                <w:b/>
                <w:bCs/>
                <w:sz w:val="16"/>
                <w:szCs w:val="16"/>
              </w:rPr>
              <w:t>105</w:t>
            </w:r>
          </w:p>
        </w:tc>
        <w:tc>
          <w:tcPr>
            <w:tcW w:w="980" w:type="dxa"/>
            <w:tcBorders>
              <w:top w:val="single" w:sz="6" w:space="0" w:color="auto"/>
              <w:left w:val="single" w:sz="6" w:space="0" w:color="auto"/>
              <w:bottom w:val="single" w:sz="6" w:space="0" w:color="auto"/>
              <w:right w:val="single" w:sz="6" w:space="0" w:color="auto"/>
            </w:tcBorders>
          </w:tcPr>
          <w:p w14:paraId="1951833F" w14:textId="61362CB4" w:rsidR="00013F5C" w:rsidRDefault="00013F5C" w:rsidP="00013F5C">
            <w:pPr>
              <w:jc w:val="left"/>
              <w:rPr>
                <w:rFonts w:eastAsia="Arial"/>
                <w:b/>
                <w:bCs/>
                <w:sz w:val="16"/>
                <w:szCs w:val="16"/>
              </w:rPr>
            </w:pPr>
            <w:proofErr w:type="spellStart"/>
            <w:r>
              <w:rPr>
                <w:rFonts w:eastAsia="Arial"/>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FFF3E40" w14:textId="77FD15A2" w:rsidR="00013F5C" w:rsidRPr="00941A70" w:rsidRDefault="00013F5C" w:rsidP="00013F5C">
            <w:pPr>
              <w:jc w:val="left"/>
              <w:rPr>
                <w:rFonts w:eastAsia="Arial"/>
                <w:b/>
                <w:bCs/>
                <w:sz w:val="16"/>
                <w:szCs w:val="16"/>
              </w:rPr>
            </w:pPr>
            <w:r w:rsidRPr="00941A70">
              <w:rPr>
                <w:rFonts w:eastAsia="Arial"/>
                <w:b/>
                <w:bCs/>
                <w:sz w:val="16"/>
                <w:szCs w:val="16"/>
              </w:rPr>
              <w:t>Kenya</w:t>
            </w:r>
          </w:p>
          <w:p w14:paraId="377052F2" w14:textId="77777777" w:rsidR="00013F5C" w:rsidRPr="00941A70" w:rsidRDefault="00013F5C" w:rsidP="00013F5C">
            <w:pPr>
              <w:jc w:val="left"/>
              <w:rPr>
                <w:rFonts w:eastAsia="Arial"/>
                <w:sz w:val="16"/>
                <w:szCs w:val="16"/>
              </w:rPr>
            </w:pPr>
          </w:p>
          <w:p w14:paraId="1B01B64D" w14:textId="56630B46" w:rsidR="00013F5C" w:rsidRPr="00941A70" w:rsidRDefault="00013F5C" w:rsidP="00013F5C">
            <w:pPr>
              <w:jc w:val="left"/>
              <w:rPr>
                <w:rFonts w:eastAsia="Arial"/>
                <w:sz w:val="16"/>
                <w:szCs w:val="16"/>
              </w:rPr>
            </w:pPr>
            <w:r w:rsidRPr="00941A70">
              <w:rPr>
                <w:rFonts w:eastAsia="Arial"/>
                <w:sz w:val="16"/>
                <w:szCs w:val="16"/>
              </w:rPr>
              <w:t xml:space="preserve">It is stated that </w:t>
            </w:r>
            <w:proofErr w:type="spellStart"/>
            <w:r w:rsidRPr="00941A70">
              <w:rPr>
                <w:rFonts w:eastAsia="Arial"/>
                <w:sz w:val="16"/>
                <w:szCs w:val="16"/>
              </w:rPr>
              <w:t>woodfuel</w:t>
            </w:r>
            <w:proofErr w:type="spellEnd"/>
            <w:r w:rsidRPr="00941A70">
              <w:rPr>
                <w:rFonts w:eastAsia="Arial"/>
                <w:sz w:val="16"/>
                <w:szCs w:val="16"/>
              </w:rPr>
              <w:t xml:space="preserve"> demand in Kenya is projected to decrease between now and 2030. A study published in 2020 in Biomass and Bioenergy indicated that the </w:t>
            </w:r>
            <w:proofErr w:type="spellStart"/>
            <w:r w:rsidRPr="00941A70">
              <w:rPr>
                <w:rFonts w:eastAsia="Arial"/>
                <w:sz w:val="16"/>
                <w:szCs w:val="16"/>
              </w:rPr>
              <w:t>woodfuel</w:t>
            </w:r>
            <w:proofErr w:type="spellEnd"/>
            <w:r w:rsidRPr="00941A70">
              <w:rPr>
                <w:rFonts w:eastAsia="Arial"/>
                <w:sz w:val="16"/>
                <w:szCs w:val="16"/>
              </w:rPr>
              <w:t xml:space="preserve"> demand in Kenya was projected to increase from 26 million m</w:t>
            </w:r>
            <w:r w:rsidRPr="00941A70">
              <w:rPr>
                <w:rFonts w:eastAsia="Arial"/>
                <w:sz w:val="16"/>
                <w:szCs w:val="16"/>
                <w:vertAlign w:val="superscript"/>
              </w:rPr>
              <w:t>3</w:t>
            </w:r>
            <w:r w:rsidRPr="00941A70">
              <w:rPr>
                <w:rFonts w:eastAsia="Arial"/>
                <w:sz w:val="16"/>
                <w:szCs w:val="16"/>
              </w:rPr>
              <w:t xml:space="preserve"> to 40 million m</w:t>
            </w:r>
            <w:r w:rsidRPr="00941A70">
              <w:rPr>
                <w:rFonts w:eastAsia="Arial"/>
                <w:sz w:val="16"/>
                <w:szCs w:val="16"/>
                <w:vertAlign w:val="superscript"/>
              </w:rPr>
              <w:t>3</w:t>
            </w:r>
            <w:r w:rsidRPr="00941A70">
              <w:rPr>
                <w:rFonts w:eastAsia="Arial"/>
                <w:sz w:val="16"/>
                <w:szCs w:val="16"/>
              </w:rPr>
              <w:t xml:space="preserve"> per annum from 2007 to 2020 with an estimated supply of 31 million m</w:t>
            </w:r>
            <w:r w:rsidRPr="00941A70">
              <w:rPr>
                <w:rFonts w:eastAsia="Arial"/>
                <w:sz w:val="16"/>
                <w:szCs w:val="16"/>
                <w:vertAlign w:val="superscript"/>
              </w:rPr>
              <w:t>3</w:t>
            </w:r>
            <w:r w:rsidRPr="00941A70">
              <w:rPr>
                <w:rFonts w:eastAsia="Arial"/>
                <w:sz w:val="16"/>
                <w:szCs w:val="16"/>
              </w:rPr>
              <w:t>/year</w:t>
            </w:r>
            <w:r w:rsidRPr="00941A70">
              <w:rPr>
                <w:rStyle w:val="FootnoteReference"/>
                <w:rFonts w:eastAsia="Arial"/>
                <w:sz w:val="16"/>
                <w:szCs w:val="16"/>
              </w:rPr>
              <w:footnoteReference w:id="2"/>
            </w:r>
            <w:r w:rsidRPr="00941A70">
              <w:rPr>
                <w:rFonts w:eastAsia="Arial"/>
                <w:sz w:val="16"/>
                <w:szCs w:val="16"/>
              </w:rPr>
              <w:t>. Currently it is estimated that the demand in Kenya is 41.7 million m</w:t>
            </w:r>
            <w:r w:rsidRPr="00941A70">
              <w:rPr>
                <w:rFonts w:eastAsia="Arial"/>
                <w:sz w:val="16"/>
                <w:szCs w:val="16"/>
                <w:vertAlign w:val="superscript"/>
              </w:rPr>
              <w:t>3</w:t>
            </w:r>
            <w:r w:rsidRPr="00941A70">
              <w:rPr>
                <w:rStyle w:val="FootnoteReference"/>
                <w:rFonts w:eastAsia="Arial"/>
                <w:sz w:val="16"/>
                <w:szCs w:val="16"/>
              </w:rPr>
              <w:footnoteReference w:id="3"/>
            </w:r>
            <w:r w:rsidRPr="00941A70">
              <w:rPr>
                <w:rFonts w:eastAsia="Arial"/>
                <w:sz w:val="16"/>
                <w:szCs w:val="16"/>
              </w:rPr>
              <w:t>. Some studies suggest that the demand for biomass energy will rise by 40% by 2040 in SSA</w:t>
            </w:r>
            <w:r w:rsidRPr="00941A70">
              <w:rPr>
                <w:rStyle w:val="FootnoteReference"/>
                <w:rFonts w:eastAsia="Arial"/>
                <w:sz w:val="16"/>
                <w:szCs w:val="16"/>
              </w:rPr>
              <w:footnoteReference w:id="4"/>
            </w:r>
            <w:r w:rsidRPr="00941A70">
              <w:rPr>
                <w:rFonts w:eastAsia="Arial"/>
                <w:sz w:val="16"/>
                <w:szCs w:val="16"/>
              </w:rPr>
              <w:t xml:space="preserve">. This all points to the demand for </w:t>
            </w:r>
            <w:proofErr w:type="spellStart"/>
            <w:r w:rsidRPr="00941A70">
              <w:rPr>
                <w:rFonts w:eastAsia="Arial"/>
                <w:sz w:val="16"/>
                <w:szCs w:val="16"/>
              </w:rPr>
              <w:t>woodfuel</w:t>
            </w:r>
            <w:proofErr w:type="spellEnd"/>
            <w:r w:rsidRPr="00941A70">
              <w:rPr>
                <w:rFonts w:eastAsia="Arial"/>
                <w:sz w:val="16"/>
                <w:szCs w:val="16"/>
              </w:rPr>
              <w:t xml:space="preserve"> increasing. Thus, on what basis was it established that the demand would decrease?</w:t>
            </w:r>
          </w:p>
        </w:tc>
        <w:tc>
          <w:tcPr>
            <w:tcW w:w="4253" w:type="dxa"/>
            <w:tcBorders>
              <w:top w:val="single" w:sz="6" w:space="0" w:color="auto"/>
              <w:left w:val="single" w:sz="6" w:space="0" w:color="auto"/>
              <w:bottom w:val="single" w:sz="6" w:space="0" w:color="auto"/>
              <w:right w:val="single" w:sz="6" w:space="0" w:color="auto"/>
            </w:tcBorders>
          </w:tcPr>
          <w:p w14:paraId="00C9EBDF" w14:textId="1860AEE2" w:rsidR="00013F5C" w:rsidRPr="00941A70" w:rsidRDefault="00013F5C" w:rsidP="00013F5C">
            <w:pPr>
              <w:jc w:val="left"/>
              <w:rPr>
                <w:rFonts w:eastAsia="Arial"/>
                <w:sz w:val="16"/>
                <w:szCs w:val="16"/>
              </w:rPr>
            </w:pPr>
            <w:r w:rsidRPr="00941A70">
              <w:rPr>
                <w:rFonts w:eastAsia="Arial"/>
                <w:sz w:val="16"/>
                <w:szCs w:val="16"/>
              </w:rPr>
              <w:t xml:space="preserve">Substantiate how it was determined that </w:t>
            </w:r>
            <w:proofErr w:type="spellStart"/>
            <w:r w:rsidRPr="00941A70">
              <w:rPr>
                <w:rFonts w:eastAsia="Arial"/>
                <w:sz w:val="16"/>
                <w:szCs w:val="16"/>
              </w:rPr>
              <w:t>woodfuel</w:t>
            </w:r>
            <w:proofErr w:type="spellEnd"/>
            <w:r w:rsidRPr="00941A70">
              <w:rPr>
                <w:rFonts w:eastAsia="Arial"/>
                <w:sz w:val="16"/>
                <w:szCs w:val="16"/>
              </w:rPr>
              <w:t xml:space="preserve"> demand would decrease in Kenya, as it is clear from literature that it is not the case.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01C3DA" w14:textId="524B6B89" w:rsidR="00013F5C" w:rsidRDefault="00013F5C" w:rsidP="00013F5C">
            <w:pPr>
              <w:spacing w:line="190" w:lineRule="exact"/>
              <w:jc w:val="left"/>
              <w:rPr>
                <w:b/>
                <w:bCs/>
                <w:sz w:val="16"/>
                <w:szCs w:val="16"/>
              </w:rPr>
            </w:pPr>
          </w:p>
        </w:tc>
      </w:tr>
      <w:tr w:rsidR="00013F5C" w14:paraId="6A355624" w14:textId="77777777" w:rsidTr="00ED3E57">
        <w:trPr>
          <w:cantSplit/>
          <w:trHeight w:val="300"/>
          <w:jc w:val="center"/>
        </w:trPr>
        <w:tc>
          <w:tcPr>
            <w:tcW w:w="435" w:type="dxa"/>
            <w:tcBorders>
              <w:top w:val="single" w:sz="6" w:space="0" w:color="auto"/>
              <w:left w:val="single" w:sz="6" w:space="0" w:color="auto"/>
              <w:bottom w:val="single" w:sz="6" w:space="0" w:color="auto"/>
              <w:right w:val="single" w:sz="6" w:space="0" w:color="auto"/>
            </w:tcBorders>
          </w:tcPr>
          <w:p w14:paraId="0B2EDC73" w14:textId="6A4D5AB4" w:rsidR="00013F5C" w:rsidRDefault="002C1B9B" w:rsidP="00013F5C">
            <w:pPr>
              <w:spacing w:line="190" w:lineRule="exact"/>
              <w:jc w:val="left"/>
              <w:rPr>
                <w:b/>
                <w:bCs/>
                <w:sz w:val="16"/>
                <w:szCs w:val="16"/>
              </w:rPr>
            </w:pPr>
            <w:r>
              <w:rPr>
                <w:b/>
                <w:bCs/>
                <w:sz w:val="16"/>
                <w:szCs w:val="16"/>
              </w:rPr>
              <w:t>38</w:t>
            </w:r>
          </w:p>
        </w:tc>
        <w:tc>
          <w:tcPr>
            <w:tcW w:w="1425" w:type="dxa"/>
            <w:tcBorders>
              <w:top w:val="single" w:sz="6" w:space="0" w:color="auto"/>
              <w:left w:val="single" w:sz="6" w:space="0" w:color="auto"/>
              <w:bottom w:val="single" w:sz="6" w:space="0" w:color="auto"/>
              <w:right w:val="single" w:sz="6" w:space="0" w:color="auto"/>
            </w:tcBorders>
          </w:tcPr>
          <w:p w14:paraId="428A5A83" w14:textId="77777777" w:rsidR="00013F5C" w:rsidRPr="00083170" w:rsidRDefault="00013F5C" w:rsidP="00013F5C">
            <w:pPr>
              <w:keepLines/>
              <w:spacing w:before="40" w:after="40" w:line="190" w:lineRule="exact"/>
              <w:rPr>
                <w:b/>
                <w:bCs/>
                <w:sz w:val="16"/>
                <w:szCs w:val="16"/>
              </w:rPr>
            </w:pPr>
            <w:r w:rsidRPr="00083170">
              <w:rPr>
                <w:b/>
                <w:bCs/>
                <w:sz w:val="16"/>
                <w:szCs w:val="16"/>
              </w:rPr>
              <w:t>Appendix 2</w:t>
            </w:r>
          </w:p>
          <w:p w14:paraId="50BF3153" w14:textId="77777777" w:rsidR="00013F5C" w:rsidRPr="00083170" w:rsidRDefault="00013F5C" w:rsidP="00013F5C">
            <w:pPr>
              <w:keepLines/>
              <w:spacing w:before="40" w:after="40" w:line="190" w:lineRule="exact"/>
              <w:rPr>
                <w:b/>
                <w:bCs/>
                <w:sz w:val="16"/>
                <w:szCs w:val="16"/>
              </w:rPr>
            </w:pPr>
          </w:p>
          <w:p w14:paraId="54633126" w14:textId="51D41FE8" w:rsidR="00013F5C" w:rsidRDefault="00013F5C" w:rsidP="00013F5C">
            <w:pPr>
              <w:jc w:val="left"/>
              <w:rPr>
                <w:rFonts w:eastAsia="Arial"/>
                <w:b/>
                <w:bCs/>
                <w:sz w:val="16"/>
                <w:szCs w:val="16"/>
              </w:rPr>
            </w:pPr>
            <w:r w:rsidRPr="00083170">
              <w:rPr>
                <w:b/>
                <w:bCs/>
                <w:sz w:val="16"/>
                <w:szCs w:val="16"/>
              </w:rPr>
              <w:t>Figure 22</w:t>
            </w:r>
          </w:p>
        </w:tc>
        <w:tc>
          <w:tcPr>
            <w:tcW w:w="922" w:type="dxa"/>
            <w:gridSpan w:val="2"/>
            <w:tcBorders>
              <w:top w:val="single" w:sz="6" w:space="0" w:color="auto"/>
              <w:left w:val="single" w:sz="6" w:space="0" w:color="auto"/>
              <w:bottom w:val="single" w:sz="6" w:space="0" w:color="auto"/>
              <w:right w:val="single" w:sz="6" w:space="0" w:color="auto"/>
            </w:tcBorders>
          </w:tcPr>
          <w:p w14:paraId="51D8F08E" w14:textId="77777777" w:rsidR="00013F5C" w:rsidRPr="00083170" w:rsidRDefault="00013F5C" w:rsidP="00013F5C">
            <w:pPr>
              <w:keepLines/>
              <w:spacing w:before="40" w:after="40" w:line="190" w:lineRule="exact"/>
              <w:rPr>
                <w:b/>
                <w:bCs/>
                <w:sz w:val="16"/>
                <w:szCs w:val="16"/>
              </w:rPr>
            </w:pPr>
            <w:r w:rsidRPr="00083170">
              <w:rPr>
                <w:b/>
                <w:bCs/>
                <w:sz w:val="16"/>
                <w:szCs w:val="16"/>
              </w:rPr>
              <w:t>Figure 22</w:t>
            </w:r>
          </w:p>
          <w:p w14:paraId="45F22045" w14:textId="76752BB0" w:rsidR="00013F5C" w:rsidRDefault="00013F5C" w:rsidP="00013F5C">
            <w:pPr>
              <w:jc w:val="left"/>
              <w:rPr>
                <w:rFonts w:eastAsia="Arial"/>
                <w:b/>
                <w:bCs/>
                <w:sz w:val="16"/>
                <w:szCs w:val="16"/>
              </w:rPr>
            </w:pPr>
          </w:p>
        </w:tc>
        <w:tc>
          <w:tcPr>
            <w:tcW w:w="980" w:type="dxa"/>
            <w:tcBorders>
              <w:top w:val="single" w:sz="6" w:space="0" w:color="auto"/>
              <w:left w:val="single" w:sz="6" w:space="0" w:color="auto"/>
              <w:bottom w:val="single" w:sz="6" w:space="0" w:color="auto"/>
              <w:right w:val="single" w:sz="6" w:space="0" w:color="auto"/>
            </w:tcBorders>
          </w:tcPr>
          <w:p w14:paraId="24D6F26C" w14:textId="0A91594C" w:rsidR="00013F5C" w:rsidRDefault="00013F5C" w:rsidP="00013F5C">
            <w:pPr>
              <w:jc w:val="left"/>
              <w:rPr>
                <w:rFonts w:eastAsia="Arial"/>
                <w:b/>
                <w:bCs/>
                <w:sz w:val="16"/>
                <w:szCs w:val="16"/>
              </w:rPr>
            </w:pPr>
            <w:proofErr w:type="spellStart"/>
            <w:r w:rsidRPr="00083170">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080596B" w14:textId="49C18F86" w:rsidR="00013F5C" w:rsidRPr="008A2EB7" w:rsidRDefault="00013F5C" w:rsidP="00013F5C">
            <w:pPr>
              <w:jc w:val="left"/>
              <w:rPr>
                <w:rFonts w:eastAsia="Arial"/>
                <w:sz w:val="16"/>
                <w:szCs w:val="16"/>
              </w:rPr>
            </w:pPr>
            <w:r w:rsidRPr="008A2EB7">
              <w:rPr>
                <w:rFonts w:eastAsia="Arial"/>
                <w:sz w:val="16"/>
                <w:szCs w:val="16"/>
              </w:rPr>
              <w:t xml:space="preserve">Simulated deforestation patterns </w:t>
            </w:r>
          </w:p>
          <w:p w14:paraId="4C1943F7" w14:textId="77777777" w:rsidR="00013F5C" w:rsidRPr="00941A70" w:rsidRDefault="00013F5C" w:rsidP="00013F5C">
            <w:pPr>
              <w:jc w:val="left"/>
              <w:rPr>
                <w:rFonts w:eastAsia="Arial"/>
                <w:sz w:val="16"/>
                <w:szCs w:val="16"/>
              </w:rPr>
            </w:pPr>
          </w:p>
          <w:p w14:paraId="6140D099" w14:textId="75C02CD1" w:rsidR="00013F5C" w:rsidRPr="00941A70" w:rsidRDefault="00013F5C" w:rsidP="00013F5C">
            <w:pPr>
              <w:jc w:val="left"/>
              <w:rPr>
                <w:rFonts w:eastAsia="Arial"/>
                <w:sz w:val="16"/>
                <w:szCs w:val="16"/>
              </w:rPr>
            </w:pPr>
            <w:r w:rsidRPr="00941A70">
              <w:rPr>
                <w:rFonts w:eastAsia="Arial"/>
                <w:sz w:val="16"/>
                <w:szCs w:val="16"/>
              </w:rPr>
              <w:t>Here the authors acknowledge that “</w:t>
            </w:r>
            <w:proofErr w:type="spellStart"/>
            <w:r w:rsidR="00847B1A">
              <w:rPr>
                <w:rFonts w:eastAsia="Arial"/>
                <w:sz w:val="16"/>
                <w:szCs w:val="16"/>
              </w:rPr>
              <w:t>MoFuSS</w:t>
            </w:r>
            <w:proofErr w:type="spellEnd"/>
            <w:r w:rsidRPr="00941A70">
              <w:rPr>
                <w:rFonts w:eastAsia="Arial"/>
                <w:sz w:val="16"/>
                <w:szCs w:val="16"/>
              </w:rPr>
              <w:t xml:space="preserve"> pattens result in unrealistic given the coarse resolution used in the study”</w:t>
            </w:r>
          </w:p>
          <w:p w14:paraId="34FD87E0" w14:textId="77777777" w:rsidR="00013F5C" w:rsidRPr="00941A70" w:rsidRDefault="00013F5C" w:rsidP="00013F5C">
            <w:pPr>
              <w:jc w:val="left"/>
              <w:rPr>
                <w:rFonts w:eastAsia="Arial"/>
                <w:sz w:val="16"/>
                <w:szCs w:val="16"/>
              </w:rPr>
            </w:pPr>
          </w:p>
          <w:p w14:paraId="128EB8FD" w14:textId="774912D7" w:rsidR="00013F5C" w:rsidRPr="008A2EB7" w:rsidRDefault="00013F5C" w:rsidP="00013F5C">
            <w:pPr>
              <w:jc w:val="left"/>
              <w:rPr>
                <w:rFonts w:eastAsia="Arial"/>
                <w:sz w:val="16"/>
                <w:szCs w:val="16"/>
              </w:rPr>
            </w:pPr>
            <w:r w:rsidRPr="00941A70">
              <w:rPr>
                <w:rFonts w:eastAsia="Arial"/>
                <w:sz w:val="16"/>
                <w:szCs w:val="16"/>
              </w:rPr>
              <w:t xml:space="preserve">The implications of the difference between deforestation predicted by </w:t>
            </w:r>
            <w:proofErr w:type="spellStart"/>
            <w:r w:rsidR="00847B1A">
              <w:rPr>
                <w:rFonts w:eastAsia="Arial"/>
                <w:sz w:val="16"/>
                <w:szCs w:val="16"/>
              </w:rPr>
              <w:t>MoFuSS</w:t>
            </w:r>
            <w:proofErr w:type="spellEnd"/>
            <w:r w:rsidRPr="00941A70">
              <w:rPr>
                <w:rFonts w:eastAsia="Arial"/>
                <w:sz w:val="16"/>
                <w:szCs w:val="16"/>
              </w:rPr>
              <w:t xml:space="preserve"> and those that are observed is not clear. Is the implication that </w:t>
            </w:r>
            <w:proofErr w:type="spellStart"/>
            <w:r w:rsidR="00847B1A">
              <w:rPr>
                <w:rFonts w:eastAsia="Arial"/>
                <w:sz w:val="16"/>
                <w:szCs w:val="16"/>
              </w:rPr>
              <w:t>MoFuSS</w:t>
            </w:r>
            <w:r w:rsidRPr="00941A70">
              <w:rPr>
                <w:rFonts w:eastAsia="Arial"/>
                <w:sz w:val="16"/>
                <w:szCs w:val="16"/>
              </w:rPr>
              <w:t>’s</w:t>
            </w:r>
            <w:proofErr w:type="spellEnd"/>
            <w:r w:rsidRPr="00941A70">
              <w:rPr>
                <w:rFonts w:eastAsia="Arial"/>
                <w:sz w:val="16"/>
                <w:szCs w:val="16"/>
              </w:rPr>
              <w:t xml:space="preserve"> predictive capabilities are insufficient, or that the model needs to run at a higher resolution? </w:t>
            </w:r>
          </w:p>
        </w:tc>
        <w:tc>
          <w:tcPr>
            <w:tcW w:w="4253" w:type="dxa"/>
            <w:tcBorders>
              <w:top w:val="single" w:sz="6" w:space="0" w:color="auto"/>
              <w:left w:val="single" w:sz="6" w:space="0" w:color="auto"/>
              <w:bottom w:val="single" w:sz="6" w:space="0" w:color="auto"/>
              <w:right w:val="single" w:sz="6" w:space="0" w:color="auto"/>
            </w:tcBorders>
          </w:tcPr>
          <w:p w14:paraId="177C399D" w14:textId="0022B857" w:rsidR="00013F5C" w:rsidRPr="00941A70" w:rsidRDefault="00013F5C" w:rsidP="00013F5C">
            <w:pPr>
              <w:jc w:val="left"/>
              <w:rPr>
                <w:rFonts w:eastAsia="Arial"/>
                <w:sz w:val="16"/>
                <w:szCs w:val="16"/>
              </w:rPr>
            </w:pPr>
            <w:r w:rsidRPr="00941A70">
              <w:rPr>
                <w:rFonts w:eastAsia="Arial"/>
                <w:sz w:val="16"/>
                <w:szCs w:val="16"/>
              </w:rPr>
              <w:t>Please provide additional explanation of the causes and implications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199453E" w14:textId="5E2A59F8" w:rsidR="00013F5C" w:rsidRDefault="00013F5C" w:rsidP="00013F5C">
            <w:pPr>
              <w:spacing w:line="190" w:lineRule="exact"/>
              <w:jc w:val="left"/>
              <w:rPr>
                <w:b/>
                <w:bCs/>
                <w:sz w:val="16"/>
                <w:szCs w:val="16"/>
              </w:rPr>
            </w:pPr>
          </w:p>
        </w:tc>
      </w:tr>
      <w:tr w:rsidR="00013F5C" w14:paraId="129748F8" w14:textId="77777777" w:rsidTr="005262DE">
        <w:trPr>
          <w:cantSplit/>
          <w:trHeight w:val="365"/>
          <w:jc w:val="center"/>
        </w:trPr>
        <w:tc>
          <w:tcPr>
            <w:tcW w:w="435" w:type="dxa"/>
            <w:tcBorders>
              <w:top w:val="single" w:sz="6" w:space="0" w:color="auto"/>
              <w:left w:val="single" w:sz="6" w:space="0" w:color="auto"/>
              <w:bottom w:val="single" w:sz="6" w:space="0" w:color="auto"/>
              <w:right w:val="single" w:sz="6" w:space="0" w:color="auto"/>
            </w:tcBorders>
          </w:tcPr>
          <w:p w14:paraId="304C041B" w14:textId="114A461B" w:rsidR="00013F5C" w:rsidRPr="7FA2EAEF" w:rsidRDefault="002C1B9B" w:rsidP="00013F5C">
            <w:pPr>
              <w:spacing w:line="190" w:lineRule="exact"/>
              <w:jc w:val="left"/>
              <w:rPr>
                <w:b/>
                <w:bCs/>
                <w:sz w:val="16"/>
                <w:szCs w:val="16"/>
              </w:rPr>
            </w:pPr>
            <w:r>
              <w:rPr>
                <w:b/>
                <w:bCs/>
                <w:sz w:val="16"/>
                <w:szCs w:val="16"/>
              </w:rPr>
              <w:t>39</w:t>
            </w:r>
          </w:p>
        </w:tc>
        <w:tc>
          <w:tcPr>
            <w:tcW w:w="1425" w:type="dxa"/>
            <w:tcBorders>
              <w:top w:val="single" w:sz="6" w:space="0" w:color="auto"/>
              <w:left w:val="single" w:sz="6" w:space="0" w:color="auto"/>
              <w:bottom w:val="single" w:sz="6" w:space="0" w:color="auto"/>
              <w:right w:val="single" w:sz="6" w:space="0" w:color="auto"/>
            </w:tcBorders>
          </w:tcPr>
          <w:p w14:paraId="5158BDE2" w14:textId="77777777" w:rsidR="00013F5C" w:rsidRDefault="00013F5C" w:rsidP="00013F5C">
            <w:pPr>
              <w:keepLines/>
              <w:spacing w:before="40" w:after="40" w:line="190" w:lineRule="exact"/>
              <w:rPr>
                <w:b/>
                <w:bCs/>
                <w:sz w:val="16"/>
                <w:szCs w:val="16"/>
              </w:rPr>
            </w:pPr>
            <w:r w:rsidRPr="00083170">
              <w:rPr>
                <w:b/>
                <w:bCs/>
                <w:sz w:val="16"/>
                <w:szCs w:val="16"/>
              </w:rPr>
              <w:t xml:space="preserve">Appendix </w:t>
            </w:r>
            <w:r>
              <w:rPr>
                <w:b/>
                <w:bCs/>
                <w:sz w:val="16"/>
                <w:szCs w:val="16"/>
              </w:rPr>
              <w:t>3</w:t>
            </w:r>
          </w:p>
          <w:p w14:paraId="5479656F" w14:textId="77777777" w:rsidR="00013F5C" w:rsidRPr="00083170" w:rsidRDefault="00013F5C" w:rsidP="00013F5C">
            <w:pPr>
              <w:keepLines/>
              <w:spacing w:before="40" w:after="40" w:line="190" w:lineRule="exact"/>
              <w:jc w:val="left"/>
              <w:rPr>
                <w:b/>
                <w:bCs/>
                <w:sz w:val="16"/>
                <w:szCs w:val="16"/>
              </w:rPr>
            </w:pPr>
            <w:r>
              <w:rPr>
                <w:b/>
                <w:bCs/>
                <w:sz w:val="16"/>
                <w:szCs w:val="16"/>
              </w:rPr>
              <w:t>Tool 30 Revisions</w:t>
            </w:r>
          </w:p>
          <w:p w14:paraId="6F4655D3" w14:textId="77777777" w:rsidR="00013F5C" w:rsidRPr="00083170" w:rsidRDefault="00013F5C" w:rsidP="00013F5C">
            <w:pPr>
              <w:keepLines/>
              <w:spacing w:before="40" w:after="40" w:line="190" w:lineRule="exact"/>
              <w:rPr>
                <w:b/>
                <w:bCs/>
                <w:sz w:val="16"/>
                <w:szCs w:val="16"/>
              </w:rPr>
            </w:pPr>
          </w:p>
        </w:tc>
        <w:tc>
          <w:tcPr>
            <w:tcW w:w="922" w:type="dxa"/>
            <w:gridSpan w:val="2"/>
            <w:tcBorders>
              <w:top w:val="single" w:sz="6" w:space="0" w:color="auto"/>
              <w:left w:val="single" w:sz="6" w:space="0" w:color="auto"/>
              <w:bottom w:val="single" w:sz="6" w:space="0" w:color="auto"/>
              <w:right w:val="single" w:sz="6" w:space="0" w:color="auto"/>
            </w:tcBorders>
          </w:tcPr>
          <w:p w14:paraId="50354776" w14:textId="77777777" w:rsidR="00013F5C" w:rsidRPr="00083170" w:rsidRDefault="00013F5C" w:rsidP="00013F5C">
            <w:pPr>
              <w:keepLines/>
              <w:spacing w:before="40" w:after="40" w:line="190" w:lineRule="exact"/>
              <w:rPr>
                <w:b/>
                <w:bCs/>
                <w:sz w:val="16"/>
                <w:szCs w:val="16"/>
              </w:rPr>
            </w:pPr>
            <w:r>
              <w:rPr>
                <w:b/>
                <w:bCs/>
                <w:sz w:val="16"/>
                <w:szCs w:val="16"/>
              </w:rPr>
              <w:t>Paragraph 4</w:t>
            </w:r>
          </w:p>
          <w:p w14:paraId="78576D92" w14:textId="77777777" w:rsidR="00013F5C" w:rsidRDefault="00013F5C" w:rsidP="00013F5C">
            <w:pPr>
              <w:keepLines/>
              <w:spacing w:before="40" w:after="40" w:line="190" w:lineRule="exact"/>
              <w:rPr>
                <w:b/>
                <w:bCs/>
                <w:sz w:val="16"/>
                <w:szCs w:val="16"/>
              </w:rPr>
            </w:pPr>
          </w:p>
        </w:tc>
        <w:tc>
          <w:tcPr>
            <w:tcW w:w="980" w:type="dxa"/>
            <w:tcBorders>
              <w:top w:val="single" w:sz="6" w:space="0" w:color="auto"/>
              <w:left w:val="single" w:sz="6" w:space="0" w:color="auto"/>
              <w:bottom w:val="single" w:sz="6" w:space="0" w:color="auto"/>
              <w:right w:val="single" w:sz="6" w:space="0" w:color="auto"/>
            </w:tcBorders>
          </w:tcPr>
          <w:p w14:paraId="4D1365DC" w14:textId="2703688A" w:rsidR="00013F5C" w:rsidRDefault="00013F5C" w:rsidP="00013F5C">
            <w:pPr>
              <w:jc w:val="left"/>
              <w:rPr>
                <w:b/>
                <w:bCs/>
                <w:sz w:val="16"/>
                <w:szCs w:val="16"/>
              </w:rPr>
            </w:pPr>
            <w:r>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7C379172" w14:textId="5FEB13C0" w:rsidR="00013F5C" w:rsidRPr="008A2EB7" w:rsidRDefault="00013F5C" w:rsidP="00013F5C">
            <w:pPr>
              <w:jc w:val="left"/>
              <w:rPr>
                <w:rFonts w:eastAsia="Arial"/>
                <w:sz w:val="16"/>
                <w:szCs w:val="16"/>
              </w:rPr>
            </w:pPr>
            <w:r w:rsidRPr="008A2EB7">
              <w:rPr>
                <w:rFonts w:eastAsia="Arial"/>
                <w:sz w:val="16"/>
                <w:szCs w:val="16"/>
              </w:rPr>
              <w:t xml:space="preserve">The document proposes changes to Tool30 in the Results section, yet the 4C </w:t>
            </w:r>
            <w:r>
              <w:rPr>
                <w:rFonts w:eastAsia="Arial"/>
                <w:sz w:val="16"/>
                <w:szCs w:val="16"/>
              </w:rPr>
              <w:t xml:space="preserve">CLEAR </w:t>
            </w:r>
            <w:r w:rsidRPr="008A2EB7">
              <w:rPr>
                <w:rFonts w:eastAsia="Arial"/>
                <w:sz w:val="16"/>
                <w:szCs w:val="16"/>
              </w:rPr>
              <w:t>Methodology</w:t>
            </w:r>
            <w:r>
              <w:rPr>
                <w:rFonts w:eastAsia="Arial"/>
                <w:sz w:val="16"/>
                <w:szCs w:val="16"/>
              </w:rPr>
              <w:t xml:space="preserve">, which we understand will become the methodology for Article 6.4, </w:t>
            </w:r>
            <w:r w:rsidRPr="008A2EB7">
              <w:rPr>
                <w:rFonts w:eastAsia="Arial"/>
                <w:sz w:val="16"/>
                <w:szCs w:val="16"/>
              </w:rPr>
              <w:t>scraps Tool30 altogether</w:t>
            </w:r>
            <w:r>
              <w:rPr>
                <w:rFonts w:eastAsia="Arial"/>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7AD3AB29" w14:textId="078DAE1B" w:rsidR="00013F5C" w:rsidRPr="008A2EB7" w:rsidRDefault="00013F5C" w:rsidP="00013F5C">
            <w:pPr>
              <w:jc w:val="left"/>
              <w:rPr>
                <w:rFonts w:eastAsia="Arial"/>
                <w:sz w:val="16"/>
                <w:szCs w:val="16"/>
              </w:rPr>
            </w:pPr>
            <w:r w:rsidRPr="008A2EB7">
              <w:rPr>
                <w:rFonts w:eastAsia="Arial"/>
                <w:sz w:val="16"/>
                <w:szCs w:val="16"/>
              </w:rPr>
              <w:t xml:space="preserve">If the document is recommending use of Tool30, with </w:t>
            </w:r>
            <w:proofErr w:type="spellStart"/>
            <w:r w:rsidR="00847B1A">
              <w:rPr>
                <w:rFonts w:eastAsia="Arial"/>
                <w:sz w:val="16"/>
                <w:szCs w:val="16"/>
              </w:rPr>
              <w:t>MoFuSS</w:t>
            </w:r>
            <w:proofErr w:type="spellEnd"/>
            <w:r w:rsidRPr="008A2EB7">
              <w:rPr>
                <w:rFonts w:eastAsia="Arial"/>
                <w:sz w:val="16"/>
                <w:szCs w:val="16"/>
              </w:rPr>
              <w:t xml:space="preserve"> used to calculate the inputs, state clearly that this is the case. If Tool30 is no longer recommended, state this </w:t>
            </w:r>
            <w:r w:rsidRPr="06764C2B">
              <w:rPr>
                <w:rFonts w:eastAsia="Arial"/>
                <w:sz w:val="16"/>
                <w:szCs w:val="16"/>
              </w:rPr>
              <w:t>clearly</w:t>
            </w:r>
            <w:r w:rsidR="002C1B9B">
              <w:rPr>
                <w:rFonts w:eastAsia="Arial"/>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5A41B3" w14:textId="77777777" w:rsidR="00013F5C" w:rsidRDefault="00013F5C" w:rsidP="00013F5C">
            <w:pPr>
              <w:spacing w:line="190" w:lineRule="exact"/>
              <w:jc w:val="left"/>
              <w:rPr>
                <w:b/>
                <w:bCs/>
                <w:sz w:val="16"/>
                <w:szCs w:val="16"/>
              </w:rPr>
            </w:pPr>
          </w:p>
        </w:tc>
      </w:tr>
    </w:tbl>
    <w:p w14:paraId="6EC29795" w14:textId="4E652C5C" w:rsidR="06764C2B" w:rsidRDefault="06764C2B"/>
    <w:p w14:paraId="1BCDB222" w14:textId="77777777" w:rsidR="00DF4F6B" w:rsidRDefault="00DF4F6B">
      <w:pPr>
        <w:spacing w:line="240" w:lineRule="exact"/>
      </w:pPr>
    </w:p>
    <w:sectPr w:rsidR="00DF4F6B">
      <w:headerReference w:type="default" r:id="rId20"/>
      <w:footerReference w:type="even" r:id="rId21"/>
      <w:footerReference w:type="default" r:id="rId2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3D63A" w14:textId="77777777" w:rsidR="00092038" w:rsidRDefault="00092038" w:rsidP="00DF4F6B">
      <w:r>
        <w:separator/>
      </w:r>
    </w:p>
  </w:endnote>
  <w:endnote w:type="continuationSeparator" w:id="0">
    <w:p w14:paraId="1BE23301" w14:textId="77777777" w:rsidR="00092038" w:rsidRDefault="00092038" w:rsidP="00DF4F6B">
      <w:r>
        <w:continuationSeparator/>
      </w:r>
    </w:p>
  </w:endnote>
  <w:endnote w:type="continuationNotice" w:id="1">
    <w:p w14:paraId="4CB896F4" w14:textId="77777777" w:rsidR="00092038" w:rsidRDefault="00092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C2CED" w14:textId="77777777" w:rsidR="00092038" w:rsidRDefault="00092038" w:rsidP="00DF4F6B">
      <w:r>
        <w:separator/>
      </w:r>
    </w:p>
  </w:footnote>
  <w:footnote w:type="continuationSeparator" w:id="0">
    <w:p w14:paraId="6F7C92FE" w14:textId="77777777" w:rsidR="00092038" w:rsidRDefault="00092038" w:rsidP="00DF4F6B">
      <w:r>
        <w:continuationSeparator/>
      </w:r>
    </w:p>
  </w:footnote>
  <w:footnote w:type="continuationNotice" w:id="1">
    <w:p w14:paraId="7F70CE64" w14:textId="77777777" w:rsidR="00092038" w:rsidRDefault="00092038"/>
  </w:footnote>
  <w:footnote w:id="2">
    <w:p w14:paraId="79B80BF1" w14:textId="755EC680" w:rsidR="00013F5C" w:rsidRPr="002C6FB2" w:rsidRDefault="00013F5C">
      <w:pPr>
        <w:pStyle w:val="FootnoteText"/>
        <w:rPr>
          <w:sz w:val="16"/>
          <w:szCs w:val="16"/>
        </w:rPr>
      </w:pPr>
      <w:r w:rsidRPr="002C6FB2">
        <w:rPr>
          <w:rStyle w:val="FootnoteReference"/>
          <w:sz w:val="16"/>
          <w:szCs w:val="16"/>
        </w:rPr>
        <w:footnoteRef/>
      </w:r>
      <w:r w:rsidRPr="002C6FB2">
        <w:rPr>
          <w:sz w:val="16"/>
          <w:szCs w:val="16"/>
        </w:rPr>
        <w:t xml:space="preserve"> </w:t>
      </w:r>
      <w:hyperlink r:id="rId1" w:tgtFrame="_blank" w:tooltip="Persistent link using digital object identifier" w:history="1">
        <w:r w:rsidRPr="002C6FB2">
          <w:rPr>
            <w:rStyle w:val="Hyperlink"/>
            <w:sz w:val="16"/>
            <w:szCs w:val="16"/>
          </w:rPr>
          <w:t>https://doi.org/10.1016/j.biombioe.2020.105519</w:t>
        </w:r>
      </w:hyperlink>
    </w:p>
  </w:footnote>
  <w:footnote w:id="3">
    <w:p w14:paraId="660A129B" w14:textId="1FB363F8" w:rsidR="00013F5C" w:rsidRPr="002C6FB2" w:rsidRDefault="00013F5C">
      <w:pPr>
        <w:pStyle w:val="FootnoteText"/>
        <w:rPr>
          <w:sz w:val="16"/>
          <w:szCs w:val="16"/>
        </w:rPr>
      </w:pPr>
      <w:r w:rsidRPr="002C6FB2">
        <w:rPr>
          <w:rStyle w:val="FootnoteReference"/>
          <w:sz w:val="16"/>
          <w:szCs w:val="16"/>
        </w:rPr>
        <w:footnoteRef/>
      </w:r>
      <w:r w:rsidRPr="002C6FB2">
        <w:rPr>
          <w:sz w:val="16"/>
          <w:szCs w:val="16"/>
        </w:rPr>
        <w:t xml:space="preserve"> MECS Brief 001 -2022, </w:t>
      </w:r>
      <w:proofErr w:type="spellStart"/>
      <w:r w:rsidRPr="002C6FB2">
        <w:rPr>
          <w:sz w:val="16"/>
          <w:szCs w:val="16"/>
        </w:rPr>
        <w:t>Thie</w:t>
      </w:r>
      <w:proofErr w:type="spellEnd"/>
      <w:r w:rsidRPr="002C6FB2">
        <w:rPr>
          <w:sz w:val="16"/>
          <w:szCs w:val="16"/>
        </w:rPr>
        <w:t xml:space="preserve"> Biomass Challenge in Kenya</w:t>
      </w:r>
    </w:p>
  </w:footnote>
  <w:footnote w:id="4">
    <w:p w14:paraId="20E50B46" w14:textId="428D8AEC" w:rsidR="00013F5C" w:rsidRDefault="00013F5C">
      <w:pPr>
        <w:pStyle w:val="FootnoteText"/>
      </w:pPr>
      <w:r w:rsidRPr="002C6FB2">
        <w:rPr>
          <w:rStyle w:val="FootnoteReference"/>
          <w:sz w:val="16"/>
          <w:szCs w:val="16"/>
        </w:rPr>
        <w:footnoteRef/>
      </w:r>
      <w:r w:rsidRPr="002C6FB2">
        <w:rPr>
          <w:sz w:val="16"/>
          <w:szCs w:val="16"/>
        </w:rPr>
        <w:t xml:space="preserve"> Smith, H., Jones, D., Vollmer, F., Baumert, S., Ryan, C., Woollen, E., Lisboa, S., Carvalho, M., Fisher, J., Luz, A., Grundy, I. &amp; Patenaude, G. (2019). Urban energy transitions and rural income generation: Sustainable </w:t>
      </w:r>
      <w:r w:rsidR="00573492">
        <w:rPr>
          <w:sz w:val="16"/>
          <w:szCs w:val="16"/>
        </w:rPr>
        <w:t>opportunities</w:t>
      </w:r>
      <w:r w:rsidRPr="002C6FB2">
        <w:rPr>
          <w:sz w:val="16"/>
          <w:szCs w:val="16"/>
        </w:rPr>
        <w:t xml:space="preserve"> for rural development through charcoal production. World Development. 113: 237-245.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1A9B4A10" w:rsidR="00F37030" w:rsidRDefault="00F37030">
          <w:pPr>
            <w:pStyle w:val="ISOComments"/>
            <w:spacing w:before="60" w:after="60"/>
            <w:rPr>
              <w:sz w:val="22"/>
            </w:rPr>
          </w:pPr>
        </w:p>
      </w:tc>
      <w:tc>
        <w:tcPr>
          <w:tcW w:w="2294" w:type="dxa"/>
          <w:tcBorders>
            <w:top w:val="single" w:sz="6" w:space="0" w:color="auto"/>
            <w:left w:val="single" w:sz="6" w:space="0" w:color="auto"/>
            <w:bottom w:val="single" w:sz="6" w:space="0" w:color="auto"/>
            <w:right w:val="single" w:sz="6" w:space="0" w:color="auto"/>
          </w:tcBorders>
        </w:tcPr>
        <w:p w14:paraId="18044243" w14:textId="2431F5C0" w:rsidR="00F37030" w:rsidRPr="00777AC5" w:rsidRDefault="00F37030">
          <w:pPr>
            <w:pStyle w:val="ISOChange"/>
            <w:spacing w:before="60" w:after="60"/>
            <w:rPr>
              <w:b/>
              <w:sz w:val="22"/>
              <w:szCs w:val="22"/>
            </w:rPr>
          </w:pPr>
          <w:r w:rsidRPr="64560048">
            <w:rPr>
              <w:b/>
              <w:sz w:val="22"/>
              <w:szCs w:val="22"/>
            </w:rPr>
            <w:t xml:space="preserve">Date: </w:t>
          </w:r>
          <w:r w:rsidR="00D84278">
            <w:rPr>
              <w:b/>
              <w:bCs/>
              <w:sz w:val="22"/>
              <w:szCs w:val="22"/>
            </w:rPr>
            <w:t>09</w:t>
          </w:r>
          <w:r w:rsidR="08C57CA7" w:rsidRPr="08C57CA7">
            <w:rPr>
              <w:b/>
              <w:bCs/>
              <w:sz w:val="22"/>
              <w:szCs w:val="22"/>
            </w:rPr>
            <w:t>/0/</w:t>
          </w:r>
          <w:r w:rsidR="09842A94" w:rsidRPr="09842A94">
            <w:rPr>
              <w:b/>
              <w:bCs/>
              <w:sz w:val="22"/>
              <w:szCs w:val="22"/>
            </w:rPr>
            <w:t>2024</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intelligence2.xml><?xml version="1.0" encoding="utf-8"?>
<int2:intelligence xmlns:int2="http://schemas.microsoft.com/office/intelligence/2020/intelligence" xmlns:oel="http://schemas.microsoft.com/office/2019/extlst">
  <int2:observations>
    <int2:textHash int2:hashCode="qQYL1VJXEUWb/T" int2:id="8p9dF34k">
      <int2:state int2:value="Rejected" int2:type="AugLoop_Text_Critique"/>
    </int2:textHash>
    <int2:textHash int2:hashCode="NWlbYPWUQGAw3S" int2:id="ItfNQKmA">
      <int2:state int2:value="Rejected" int2:type="AugLoop_Text_Critique"/>
    </int2:textHash>
    <int2:textHash int2:hashCode="wEtiPwGfXVc1vW" int2:id="OjAv4yrh">
      <int2:state int2:value="Rejected" int2:type="AugLoop_Text_Critique"/>
    </int2:textHash>
    <int2:textHash int2:hashCode="N1rkDEZqVInHPy" int2:id="vGDfLkM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B3A5A"/>
    <w:multiLevelType w:val="hybridMultilevel"/>
    <w:tmpl w:val="C03C589E"/>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75860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004C3"/>
    <w:rsid w:val="00002A5A"/>
    <w:rsid w:val="00003507"/>
    <w:rsid w:val="00004086"/>
    <w:rsid w:val="00006E53"/>
    <w:rsid w:val="000077B6"/>
    <w:rsid w:val="0001171C"/>
    <w:rsid w:val="00011F0F"/>
    <w:rsid w:val="000120DF"/>
    <w:rsid w:val="00013F5C"/>
    <w:rsid w:val="00015BE1"/>
    <w:rsid w:val="00016E1F"/>
    <w:rsid w:val="00017165"/>
    <w:rsid w:val="00017E70"/>
    <w:rsid w:val="0002073E"/>
    <w:rsid w:val="00023AEC"/>
    <w:rsid w:val="00024C8A"/>
    <w:rsid w:val="00025732"/>
    <w:rsid w:val="00026F97"/>
    <w:rsid w:val="000316B0"/>
    <w:rsid w:val="00035246"/>
    <w:rsid w:val="00037561"/>
    <w:rsid w:val="000400F0"/>
    <w:rsid w:val="0004029B"/>
    <w:rsid w:val="00041E88"/>
    <w:rsid w:val="00043236"/>
    <w:rsid w:val="0004345E"/>
    <w:rsid w:val="00044598"/>
    <w:rsid w:val="00044E36"/>
    <w:rsid w:val="00047408"/>
    <w:rsid w:val="0004751A"/>
    <w:rsid w:val="000502ED"/>
    <w:rsid w:val="00052CE8"/>
    <w:rsid w:val="00054743"/>
    <w:rsid w:val="00063BB5"/>
    <w:rsid w:val="0006596C"/>
    <w:rsid w:val="00066AB6"/>
    <w:rsid w:val="0007059D"/>
    <w:rsid w:val="0007061D"/>
    <w:rsid w:val="00072C59"/>
    <w:rsid w:val="00075131"/>
    <w:rsid w:val="000847DA"/>
    <w:rsid w:val="00084A1F"/>
    <w:rsid w:val="00086EB9"/>
    <w:rsid w:val="00091211"/>
    <w:rsid w:val="0009133D"/>
    <w:rsid w:val="0009168F"/>
    <w:rsid w:val="0009195A"/>
    <w:rsid w:val="00091B3D"/>
    <w:rsid w:val="00091BD5"/>
    <w:rsid w:val="0009202D"/>
    <w:rsid w:val="00092038"/>
    <w:rsid w:val="00094488"/>
    <w:rsid w:val="00095E70"/>
    <w:rsid w:val="000A0464"/>
    <w:rsid w:val="000A41C9"/>
    <w:rsid w:val="000A4A30"/>
    <w:rsid w:val="000A4ED6"/>
    <w:rsid w:val="000B17E0"/>
    <w:rsid w:val="000B1FCB"/>
    <w:rsid w:val="000B2EA1"/>
    <w:rsid w:val="000B3EEC"/>
    <w:rsid w:val="000B6582"/>
    <w:rsid w:val="000B7AAA"/>
    <w:rsid w:val="000C0E9B"/>
    <w:rsid w:val="000C1FA2"/>
    <w:rsid w:val="000C29BE"/>
    <w:rsid w:val="000C43C0"/>
    <w:rsid w:val="000C4571"/>
    <w:rsid w:val="000C462B"/>
    <w:rsid w:val="000C4DFF"/>
    <w:rsid w:val="000C4E26"/>
    <w:rsid w:val="000C5B8E"/>
    <w:rsid w:val="000D0A82"/>
    <w:rsid w:val="000D0E6B"/>
    <w:rsid w:val="000D1210"/>
    <w:rsid w:val="000D27BC"/>
    <w:rsid w:val="000D5CF2"/>
    <w:rsid w:val="000E0B37"/>
    <w:rsid w:val="000E2952"/>
    <w:rsid w:val="000E48F8"/>
    <w:rsid w:val="000F38FB"/>
    <w:rsid w:val="000F43D0"/>
    <w:rsid w:val="000F52D2"/>
    <w:rsid w:val="000F648F"/>
    <w:rsid w:val="0010068B"/>
    <w:rsid w:val="00100AED"/>
    <w:rsid w:val="00100F28"/>
    <w:rsid w:val="0010231A"/>
    <w:rsid w:val="001026D0"/>
    <w:rsid w:val="001026FE"/>
    <w:rsid w:val="0010298F"/>
    <w:rsid w:val="00103380"/>
    <w:rsid w:val="00106B15"/>
    <w:rsid w:val="00107AC8"/>
    <w:rsid w:val="00111853"/>
    <w:rsid w:val="0011200D"/>
    <w:rsid w:val="001125E8"/>
    <w:rsid w:val="00113642"/>
    <w:rsid w:val="00113C5A"/>
    <w:rsid w:val="001140A9"/>
    <w:rsid w:val="001142BB"/>
    <w:rsid w:val="001144F6"/>
    <w:rsid w:val="00114948"/>
    <w:rsid w:val="00116C41"/>
    <w:rsid w:val="001170F1"/>
    <w:rsid w:val="00117C8D"/>
    <w:rsid w:val="001202E9"/>
    <w:rsid w:val="00120CBC"/>
    <w:rsid w:val="00122221"/>
    <w:rsid w:val="001225B4"/>
    <w:rsid w:val="0012425C"/>
    <w:rsid w:val="0012538F"/>
    <w:rsid w:val="001267BA"/>
    <w:rsid w:val="00130108"/>
    <w:rsid w:val="0013311C"/>
    <w:rsid w:val="001340B0"/>
    <w:rsid w:val="0014072D"/>
    <w:rsid w:val="00150EE0"/>
    <w:rsid w:val="0015353F"/>
    <w:rsid w:val="00155A66"/>
    <w:rsid w:val="00155EDE"/>
    <w:rsid w:val="00156C56"/>
    <w:rsid w:val="00157243"/>
    <w:rsid w:val="00161AC7"/>
    <w:rsid w:val="0016323C"/>
    <w:rsid w:val="00166F05"/>
    <w:rsid w:val="001671D6"/>
    <w:rsid w:val="00170DBF"/>
    <w:rsid w:val="001727F3"/>
    <w:rsid w:val="001738AC"/>
    <w:rsid w:val="001764A5"/>
    <w:rsid w:val="00176D97"/>
    <w:rsid w:val="00176E3D"/>
    <w:rsid w:val="00176E46"/>
    <w:rsid w:val="0018018A"/>
    <w:rsid w:val="00183D74"/>
    <w:rsid w:val="00186F2F"/>
    <w:rsid w:val="00190A31"/>
    <w:rsid w:val="001921FD"/>
    <w:rsid w:val="00192313"/>
    <w:rsid w:val="00195FE6"/>
    <w:rsid w:val="00197150"/>
    <w:rsid w:val="001A190A"/>
    <w:rsid w:val="001A2467"/>
    <w:rsid w:val="001A2BDF"/>
    <w:rsid w:val="001A3276"/>
    <w:rsid w:val="001A523E"/>
    <w:rsid w:val="001A70CE"/>
    <w:rsid w:val="001A7E81"/>
    <w:rsid w:val="001B3FBA"/>
    <w:rsid w:val="001B74AA"/>
    <w:rsid w:val="001B78DA"/>
    <w:rsid w:val="001C166A"/>
    <w:rsid w:val="001C17E5"/>
    <w:rsid w:val="001C1A2F"/>
    <w:rsid w:val="001C3500"/>
    <w:rsid w:val="001C3541"/>
    <w:rsid w:val="001C3668"/>
    <w:rsid w:val="001C4494"/>
    <w:rsid w:val="001C5F01"/>
    <w:rsid w:val="001C6150"/>
    <w:rsid w:val="001C6417"/>
    <w:rsid w:val="001C7FCF"/>
    <w:rsid w:val="001D0F91"/>
    <w:rsid w:val="001D20E3"/>
    <w:rsid w:val="001D3373"/>
    <w:rsid w:val="001D5C9A"/>
    <w:rsid w:val="001D6AF1"/>
    <w:rsid w:val="001D7670"/>
    <w:rsid w:val="001E1BEE"/>
    <w:rsid w:val="001E3876"/>
    <w:rsid w:val="001F0A36"/>
    <w:rsid w:val="001F1705"/>
    <w:rsid w:val="001F1CE6"/>
    <w:rsid w:val="001F3425"/>
    <w:rsid w:val="001F4B6C"/>
    <w:rsid w:val="002001E4"/>
    <w:rsid w:val="002009F6"/>
    <w:rsid w:val="00201105"/>
    <w:rsid w:val="002025D8"/>
    <w:rsid w:val="0020778F"/>
    <w:rsid w:val="00212B18"/>
    <w:rsid w:val="00213DDC"/>
    <w:rsid w:val="00213E3A"/>
    <w:rsid w:val="00214AFA"/>
    <w:rsid w:val="00214C88"/>
    <w:rsid w:val="002200F9"/>
    <w:rsid w:val="00220C98"/>
    <w:rsid w:val="002222AD"/>
    <w:rsid w:val="002226AD"/>
    <w:rsid w:val="00225A29"/>
    <w:rsid w:val="002266FE"/>
    <w:rsid w:val="0023061D"/>
    <w:rsid w:val="00230913"/>
    <w:rsid w:val="0023594B"/>
    <w:rsid w:val="00236255"/>
    <w:rsid w:val="00236A22"/>
    <w:rsid w:val="00237C21"/>
    <w:rsid w:val="0024204B"/>
    <w:rsid w:val="002428F1"/>
    <w:rsid w:val="00242B6E"/>
    <w:rsid w:val="0024323F"/>
    <w:rsid w:val="00243400"/>
    <w:rsid w:val="00245F1C"/>
    <w:rsid w:val="002471DC"/>
    <w:rsid w:val="00247D49"/>
    <w:rsid w:val="002532DE"/>
    <w:rsid w:val="00253854"/>
    <w:rsid w:val="00253EE4"/>
    <w:rsid w:val="002559FE"/>
    <w:rsid w:val="00257732"/>
    <w:rsid w:val="00257F85"/>
    <w:rsid w:val="00260BBB"/>
    <w:rsid w:val="002625A4"/>
    <w:rsid w:val="002657E4"/>
    <w:rsid w:val="00267B43"/>
    <w:rsid w:val="00271F16"/>
    <w:rsid w:val="00276D33"/>
    <w:rsid w:val="00277178"/>
    <w:rsid w:val="002772A5"/>
    <w:rsid w:val="00277EBF"/>
    <w:rsid w:val="00280116"/>
    <w:rsid w:val="00281D2A"/>
    <w:rsid w:val="0028434E"/>
    <w:rsid w:val="00284E7E"/>
    <w:rsid w:val="00287C46"/>
    <w:rsid w:val="002910F9"/>
    <w:rsid w:val="00292538"/>
    <w:rsid w:val="002951FE"/>
    <w:rsid w:val="00296959"/>
    <w:rsid w:val="00296F65"/>
    <w:rsid w:val="002A064F"/>
    <w:rsid w:val="002A14A5"/>
    <w:rsid w:val="002A3C56"/>
    <w:rsid w:val="002A4645"/>
    <w:rsid w:val="002A49AB"/>
    <w:rsid w:val="002A4D1B"/>
    <w:rsid w:val="002A5CA7"/>
    <w:rsid w:val="002A62A1"/>
    <w:rsid w:val="002A7FB2"/>
    <w:rsid w:val="002B20AC"/>
    <w:rsid w:val="002B2CB3"/>
    <w:rsid w:val="002B30FD"/>
    <w:rsid w:val="002B398C"/>
    <w:rsid w:val="002B3EA7"/>
    <w:rsid w:val="002B6753"/>
    <w:rsid w:val="002B73C9"/>
    <w:rsid w:val="002C1B9B"/>
    <w:rsid w:val="002C3E4F"/>
    <w:rsid w:val="002C449E"/>
    <w:rsid w:val="002C6FB2"/>
    <w:rsid w:val="002D0102"/>
    <w:rsid w:val="002D217F"/>
    <w:rsid w:val="002D3386"/>
    <w:rsid w:val="002D68F9"/>
    <w:rsid w:val="002D6EDF"/>
    <w:rsid w:val="002D7CB3"/>
    <w:rsid w:val="002D7D79"/>
    <w:rsid w:val="002D7FDB"/>
    <w:rsid w:val="002E0202"/>
    <w:rsid w:val="002E02DE"/>
    <w:rsid w:val="002E03C6"/>
    <w:rsid w:val="002E3AF8"/>
    <w:rsid w:val="002E43FE"/>
    <w:rsid w:val="002E6218"/>
    <w:rsid w:val="002F10F5"/>
    <w:rsid w:val="002F135C"/>
    <w:rsid w:val="002F4D14"/>
    <w:rsid w:val="002F4FFB"/>
    <w:rsid w:val="002F69AD"/>
    <w:rsid w:val="002F6C2A"/>
    <w:rsid w:val="0030147D"/>
    <w:rsid w:val="00301A9B"/>
    <w:rsid w:val="00302472"/>
    <w:rsid w:val="00302AB8"/>
    <w:rsid w:val="0030457C"/>
    <w:rsid w:val="0030581C"/>
    <w:rsid w:val="00305883"/>
    <w:rsid w:val="00306688"/>
    <w:rsid w:val="00310591"/>
    <w:rsid w:val="00311FC2"/>
    <w:rsid w:val="00313E41"/>
    <w:rsid w:val="00317420"/>
    <w:rsid w:val="00326824"/>
    <w:rsid w:val="00327105"/>
    <w:rsid w:val="0032748A"/>
    <w:rsid w:val="003302D1"/>
    <w:rsid w:val="00330700"/>
    <w:rsid w:val="0033076F"/>
    <w:rsid w:val="00331E9E"/>
    <w:rsid w:val="00332009"/>
    <w:rsid w:val="003323BA"/>
    <w:rsid w:val="003326A6"/>
    <w:rsid w:val="003338F7"/>
    <w:rsid w:val="00334D25"/>
    <w:rsid w:val="00335F1B"/>
    <w:rsid w:val="00336760"/>
    <w:rsid w:val="00336A5B"/>
    <w:rsid w:val="003403B2"/>
    <w:rsid w:val="003406D0"/>
    <w:rsid w:val="00340EAA"/>
    <w:rsid w:val="003429E0"/>
    <w:rsid w:val="00342C75"/>
    <w:rsid w:val="00343688"/>
    <w:rsid w:val="00345C1B"/>
    <w:rsid w:val="00345C20"/>
    <w:rsid w:val="003476D5"/>
    <w:rsid w:val="00350959"/>
    <w:rsid w:val="00353C71"/>
    <w:rsid w:val="003543A6"/>
    <w:rsid w:val="00357A54"/>
    <w:rsid w:val="003604B5"/>
    <w:rsid w:val="0036078F"/>
    <w:rsid w:val="00360C00"/>
    <w:rsid w:val="00361B0E"/>
    <w:rsid w:val="00364910"/>
    <w:rsid w:val="00364B14"/>
    <w:rsid w:val="003654F1"/>
    <w:rsid w:val="00366142"/>
    <w:rsid w:val="003668DA"/>
    <w:rsid w:val="00366FD7"/>
    <w:rsid w:val="00371EC1"/>
    <w:rsid w:val="00372DED"/>
    <w:rsid w:val="00373C35"/>
    <w:rsid w:val="0037595F"/>
    <w:rsid w:val="00376FFA"/>
    <w:rsid w:val="003800F7"/>
    <w:rsid w:val="00380D13"/>
    <w:rsid w:val="00382DB6"/>
    <w:rsid w:val="00386A6E"/>
    <w:rsid w:val="00386D3D"/>
    <w:rsid w:val="00386DA6"/>
    <w:rsid w:val="003904FE"/>
    <w:rsid w:val="003909BE"/>
    <w:rsid w:val="00394237"/>
    <w:rsid w:val="003945B2"/>
    <w:rsid w:val="00394E54"/>
    <w:rsid w:val="003958A3"/>
    <w:rsid w:val="00395DEC"/>
    <w:rsid w:val="003A0373"/>
    <w:rsid w:val="003A313E"/>
    <w:rsid w:val="003A319D"/>
    <w:rsid w:val="003A3C22"/>
    <w:rsid w:val="003A56C2"/>
    <w:rsid w:val="003A7252"/>
    <w:rsid w:val="003A7392"/>
    <w:rsid w:val="003A7D27"/>
    <w:rsid w:val="003B01A5"/>
    <w:rsid w:val="003B5D7D"/>
    <w:rsid w:val="003B69C6"/>
    <w:rsid w:val="003C412C"/>
    <w:rsid w:val="003C4CDF"/>
    <w:rsid w:val="003C7916"/>
    <w:rsid w:val="003D0100"/>
    <w:rsid w:val="003D0E9F"/>
    <w:rsid w:val="003D0FBA"/>
    <w:rsid w:val="003D47C3"/>
    <w:rsid w:val="003D4ED1"/>
    <w:rsid w:val="003D7901"/>
    <w:rsid w:val="003E09AA"/>
    <w:rsid w:val="003E1617"/>
    <w:rsid w:val="003E225C"/>
    <w:rsid w:val="003E63A9"/>
    <w:rsid w:val="003E65A6"/>
    <w:rsid w:val="003E68A8"/>
    <w:rsid w:val="003E7832"/>
    <w:rsid w:val="003F0378"/>
    <w:rsid w:val="003F12C9"/>
    <w:rsid w:val="003F2F58"/>
    <w:rsid w:val="003F396C"/>
    <w:rsid w:val="003F57AB"/>
    <w:rsid w:val="003F635A"/>
    <w:rsid w:val="003F750A"/>
    <w:rsid w:val="00400816"/>
    <w:rsid w:val="00400CEA"/>
    <w:rsid w:val="004022F7"/>
    <w:rsid w:val="004041AD"/>
    <w:rsid w:val="004048D2"/>
    <w:rsid w:val="00404CD4"/>
    <w:rsid w:val="00405FB3"/>
    <w:rsid w:val="00406472"/>
    <w:rsid w:val="00406576"/>
    <w:rsid w:val="004068B7"/>
    <w:rsid w:val="00406E80"/>
    <w:rsid w:val="004077C4"/>
    <w:rsid w:val="00407E52"/>
    <w:rsid w:val="00410493"/>
    <w:rsid w:val="00410543"/>
    <w:rsid w:val="00410DC9"/>
    <w:rsid w:val="00411656"/>
    <w:rsid w:val="004117CC"/>
    <w:rsid w:val="00411B64"/>
    <w:rsid w:val="004139AA"/>
    <w:rsid w:val="0041494C"/>
    <w:rsid w:val="00416096"/>
    <w:rsid w:val="004216CB"/>
    <w:rsid w:val="00421887"/>
    <w:rsid w:val="00421914"/>
    <w:rsid w:val="00421D3D"/>
    <w:rsid w:val="00421EBC"/>
    <w:rsid w:val="004242DC"/>
    <w:rsid w:val="004248BD"/>
    <w:rsid w:val="00424ACE"/>
    <w:rsid w:val="00430FF8"/>
    <w:rsid w:val="00432AC0"/>
    <w:rsid w:val="00435870"/>
    <w:rsid w:val="00435A47"/>
    <w:rsid w:val="00435F14"/>
    <w:rsid w:val="00436822"/>
    <w:rsid w:val="004407D0"/>
    <w:rsid w:val="00440970"/>
    <w:rsid w:val="00444108"/>
    <w:rsid w:val="00446613"/>
    <w:rsid w:val="004476BF"/>
    <w:rsid w:val="00447D9A"/>
    <w:rsid w:val="0045072F"/>
    <w:rsid w:val="00450EEA"/>
    <w:rsid w:val="00453639"/>
    <w:rsid w:val="00453A84"/>
    <w:rsid w:val="00454118"/>
    <w:rsid w:val="004550BE"/>
    <w:rsid w:val="0045533D"/>
    <w:rsid w:val="00456091"/>
    <w:rsid w:val="00456CEA"/>
    <w:rsid w:val="00456E56"/>
    <w:rsid w:val="00456EDA"/>
    <w:rsid w:val="00461263"/>
    <w:rsid w:val="00461B6D"/>
    <w:rsid w:val="00461D30"/>
    <w:rsid w:val="0046291E"/>
    <w:rsid w:val="004647AE"/>
    <w:rsid w:val="00466BAB"/>
    <w:rsid w:val="0046767D"/>
    <w:rsid w:val="00467EF6"/>
    <w:rsid w:val="004701B9"/>
    <w:rsid w:val="004712E1"/>
    <w:rsid w:val="00471B76"/>
    <w:rsid w:val="00472C3C"/>
    <w:rsid w:val="0047352E"/>
    <w:rsid w:val="00473683"/>
    <w:rsid w:val="00474053"/>
    <w:rsid w:val="00474618"/>
    <w:rsid w:val="00475DB3"/>
    <w:rsid w:val="00476B93"/>
    <w:rsid w:val="0047771F"/>
    <w:rsid w:val="00480927"/>
    <w:rsid w:val="00480C38"/>
    <w:rsid w:val="004820E9"/>
    <w:rsid w:val="00482E5F"/>
    <w:rsid w:val="00483CEC"/>
    <w:rsid w:val="00485916"/>
    <w:rsid w:val="00491568"/>
    <w:rsid w:val="00491824"/>
    <w:rsid w:val="0049479C"/>
    <w:rsid w:val="004958D4"/>
    <w:rsid w:val="004A0DEF"/>
    <w:rsid w:val="004A1F83"/>
    <w:rsid w:val="004A3853"/>
    <w:rsid w:val="004A4D3E"/>
    <w:rsid w:val="004A71A8"/>
    <w:rsid w:val="004A78DC"/>
    <w:rsid w:val="004B10E4"/>
    <w:rsid w:val="004B3CE8"/>
    <w:rsid w:val="004B7668"/>
    <w:rsid w:val="004C1EC1"/>
    <w:rsid w:val="004C2E33"/>
    <w:rsid w:val="004D0463"/>
    <w:rsid w:val="004D201C"/>
    <w:rsid w:val="004E2F06"/>
    <w:rsid w:val="004E49C9"/>
    <w:rsid w:val="004E4EA5"/>
    <w:rsid w:val="004E61F1"/>
    <w:rsid w:val="004F1407"/>
    <w:rsid w:val="004F56C1"/>
    <w:rsid w:val="004F5A4D"/>
    <w:rsid w:val="004F643B"/>
    <w:rsid w:val="004F6661"/>
    <w:rsid w:val="004F6BBA"/>
    <w:rsid w:val="005009BB"/>
    <w:rsid w:val="00501C4C"/>
    <w:rsid w:val="00504E76"/>
    <w:rsid w:val="00505594"/>
    <w:rsid w:val="00506019"/>
    <w:rsid w:val="00506326"/>
    <w:rsid w:val="0051624C"/>
    <w:rsid w:val="005208CE"/>
    <w:rsid w:val="0052376F"/>
    <w:rsid w:val="005242C9"/>
    <w:rsid w:val="005246AE"/>
    <w:rsid w:val="005262DE"/>
    <w:rsid w:val="00535FD0"/>
    <w:rsid w:val="0053646C"/>
    <w:rsid w:val="00542D62"/>
    <w:rsid w:val="00542DBC"/>
    <w:rsid w:val="00543655"/>
    <w:rsid w:val="00543ACB"/>
    <w:rsid w:val="005464EF"/>
    <w:rsid w:val="00546840"/>
    <w:rsid w:val="00547A39"/>
    <w:rsid w:val="0055198B"/>
    <w:rsid w:val="00551E9A"/>
    <w:rsid w:val="005523E0"/>
    <w:rsid w:val="005553E8"/>
    <w:rsid w:val="00557E79"/>
    <w:rsid w:val="00563B66"/>
    <w:rsid w:val="00564AA4"/>
    <w:rsid w:val="00564C63"/>
    <w:rsid w:val="00565532"/>
    <w:rsid w:val="00565B6F"/>
    <w:rsid w:val="00565E73"/>
    <w:rsid w:val="00566CA9"/>
    <w:rsid w:val="00570BBE"/>
    <w:rsid w:val="00571276"/>
    <w:rsid w:val="00572317"/>
    <w:rsid w:val="00573492"/>
    <w:rsid w:val="00574A3E"/>
    <w:rsid w:val="005755E1"/>
    <w:rsid w:val="0058053D"/>
    <w:rsid w:val="005873B1"/>
    <w:rsid w:val="0058789A"/>
    <w:rsid w:val="00592F56"/>
    <w:rsid w:val="00594E91"/>
    <w:rsid w:val="0059787C"/>
    <w:rsid w:val="005A0CE9"/>
    <w:rsid w:val="005A256D"/>
    <w:rsid w:val="005A358D"/>
    <w:rsid w:val="005A393F"/>
    <w:rsid w:val="005A39A1"/>
    <w:rsid w:val="005A3E1A"/>
    <w:rsid w:val="005A4A33"/>
    <w:rsid w:val="005A555F"/>
    <w:rsid w:val="005A5BAA"/>
    <w:rsid w:val="005A78ED"/>
    <w:rsid w:val="005B1074"/>
    <w:rsid w:val="005B46E7"/>
    <w:rsid w:val="005C011E"/>
    <w:rsid w:val="005C2C09"/>
    <w:rsid w:val="005C3ADD"/>
    <w:rsid w:val="005C5A07"/>
    <w:rsid w:val="005C6182"/>
    <w:rsid w:val="005C797E"/>
    <w:rsid w:val="005D0339"/>
    <w:rsid w:val="005D0641"/>
    <w:rsid w:val="005D3342"/>
    <w:rsid w:val="005D3805"/>
    <w:rsid w:val="005D5103"/>
    <w:rsid w:val="005D5C33"/>
    <w:rsid w:val="005D7146"/>
    <w:rsid w:val="005D79B7"/>
    <w:rsid w:val="005E180F"/>
    <w:rsid w:val="005E210F"/>
    <w:rsid w:val="005E3629"/>
    <w:rsid w:val="005E68EF"/>
    <w:rsid w:val="005E74FC"/>
    <w:rsid w:val="005F0C04"/>
    <w:rsid w:val="005F1587"/>
    <w:rsid w:val="005F1CA0"/>
    <w:rsid w:val="005F7201"/>
    <w:rsid w:val="00600119"/>
    <w:rsid w:val="0060018E"/>
    <w:rsid w:val="006019F6"/>
    <w:rsid w:val="00602436"/>
    <w:rsid w:val="006054FE"/>
    <w:rsid w:val="00607662"/>
    <w:rsid w:val="006121EE"/>
    <w:rsid w:val="00612302"/>
    <w:rsid w:val="006130B3"/>
    <w:rsid w:val="006131C9"/>
    <w:rsid w:val="00614A78"/>
    <w:rsid w:val="006154B5"/>
    <w:rsid w:val="006154E8"/>
    <w:rsid w:val="00615D18"/>
    <w:rsid w:val="00616015"/>
    <w:rsid w:val="006166A0"/>
    <w:rsid w:val="00617D27"/>
    <w:rsid w:val="00620504"/>
    <w:rsid w:val="00624945"/>
    <w:rsid w:val="006261E6"/>
    <w:rsid w:val="006310AE"/>
    <w:rsid w:val="00632FDF"/>
    <w:rsid w:val="00634D38"/>
    <w:rsid w:val="0063635E"/>
    <w:rsid w:val="006373D3"/>
    <w:rsid w:val="00641F07"/>
    <w:rsid w:val="00642562"/>
    <w:rsid w:val="0064287D"/>
    <w:rsid w:val="00645FF8"/>
    <w:rsid w:val="00646C7F"/>
    <w:rsid w:val="00646E55"/>
    <w:rsid w:val="0064712B"/>
    <w:rsid w:val="006501DF"/>
    <w:rsid w:val="006511E4"/>
    <w:rsid w:val="006533A3"/>
    <w:rsid w:val="00655556"/>
    <w:rsid w:val="00657D1A"/>
    <w:rsid w:val="00661522"/>
    <w:rsid w:val="00662D91"/>
    <w:rsid w:val="00662E54"/>
    <w:rsid w:val="00667388"/>
    <w:rsid w:val="00667527"/>
    <w:rsid w:val="0067233E"/>
    <w:rsid w:val="00673FA6"/>
    <w:rsid w:val="006757D8"/>
    <w:rsid w:val="00675FD3"/>
    <w:rsid w:val="00680242"/>
    <w:rsid w:val="00680504"/>
    <w:rsid w:val="0068369F"/>
    <w:rsid w:val="00683BDB"/>
    <w:rsid w:val="006873A8"/>
    <w:rsid w:val="00691650"/>
    <w:rsid w:val="00691D0B"/>
    <w:rsid w:val="0069235A"/>
    <w:rsid w:val="00694364"/>
    <w:rsid w:val="00694A4C"/>
    <w:rsid w:val="00695EB2"/>
    <w:rsid w:val="006962E7"/>
    <w:rsid w:val="00696567"/>
    <w:rsid w:val="00697B7C"/>
    <w:rsid w:val="006A0C0C"/>
    <w:rsid w:val="006A1CB9"/>
    <w:rsid w:val="006A5588"/>
    <w:rsid w:val="006A5BD6"/>
    <w:rsid w:val="006A6507"/>
    <w:rsid w:val="006A6C2D"/>
    <w:rsid w:val="006B00B5"/>
    <w:rsid w:val="006B019B"/>
    <w:rsid w:val="006B38EB"/>
    <w:rsid w:val="006B46E6"/>
    <w:rsid w:val="006B4B74"/>
    <w:rsid w:val="006B68F6"/>
    <w:rsid w:val="006B6AC9"/>
    <w:rsid w:val="006B7520"/>
    <w:rsid w:val="006B7622"/>
    <w:rsid w:val="006B79FD"/>
    <w:rsid w:val="006C3AC3"/>
    <w:rsid w:val="006C57B0"/>
    <w:rsid w:val="006C592C"/>
    <w:rsid w:val="006D0849"/>
    <w:rsid w:val="006D168B"/>
    <w:rsid w:val="006D1B52"/>
    <w:rsid w:val="006D2245"/>
    <w:rsid w:val="006D31A9"/>
    <w:rsid w:val="006D46C3"/>
    <w:rsid w:val="006E1D7A"/>
    <w:rsid w:val="006E3126"/>
    <w:rsid w:val="006E4AEB"/>
    <w:rsid w:val="006E6208"/>
    <w:rsid w:val="006E703E"/>
    <w:rsid w:val="006E7A83"/>
    <w:rsid w:val="006F2C60"/>
    <w:rsid w:val="006F32C1"/>
    <w:rsid w:val="006F3E25"/>
    <w:rsid w:val="006F65DA"/>
    <w:rsid w:val="006F7927"/>
    <w:rsid w:val="006F7FD4"/>
    <w:rsid w:val="00700EEE"/>
    <w:rsid w:val="007015B0"/>
    <w:rsid w:val="00702C92"/>
    <w:rsid w:val="00703A47"/>
    <w:rsid w:val="00703D28"/>
    <w:rsid w:val="00706870"/>
    <w:rsid w:val="00710205"/>
    <w:rsid w:val="0071160B"/>
    <w:rsid w:val="0071161A"/>
    <w:rsid w:val="00713CA8"/>
    <w:rsid w:val="00714260"/>
    <w:rsid w:val="00714657"/>
    <w:rsid w:val="007146CB"/>
    <w:rsid w:val="00715ABA"/>
    <w:rsid w:val="00721FE9"/>
    <w:rsid w:val="00725CB0"/>
    <w:rsid w:val="00725F7A"/>
    <w:rsid w:val="00731402"/>
    <w:rsid w:val="007363BF"/>
    <w:rsid w:val="00736E76"/>
    <w:rsid w:val="00740418"/>
    <w:rsid w:val="007463E6"/>
    <w:rsid w:val="00750074"/>
    <w:rsid w:val="0075148F"/>
    <w:rsid w:val="00751EAB"/>
    <w:rsid w:val="00753443"/>
    <w:rsid w:val="00753D60"/>
    <w:rsid w:val="00754A69"/>
    <w:rsid w:val="00757D02"/>
    <w:rsid w:val="00760382"/>
    <w:rsid w:val="007636E1"/>
    <w:rsid w:val="00767861"/>
    <w:rsid w:val="00767FD1"/>
    <w:rsid w:val="00772061"/>
    <w:rsid w:val="007724E5"/>
    <w:rsid w:val="00775288"/>
    <w:rsid w:val="0077591B"/>
    <w:rsid w:val="00776DA6"/>
    <w:rsid w:val="00777568"/>
    <w:rsid w:val="00777AC5"/>
    <w:rsid w:val="00777FF8"/>
    <w:rsid w:val="0078286D"/>
    <w:rsid w:val="007845C8"/>
    <w:rsid w:val="00787A7A"/>
    <w:rsid w:val="00787C3E"/>
    <w:rsid w:val="00787E36"/>
    <w:rsid w:val="007928BB"/>
    <w:rsid w:val="00796B0F"/>
    <w:rsid w:val="00797F0E"/>
    <w:rsid w:val="007A0335"/>
    <w:rsid w:val="007A149E"/>
    <w:rsid w:val="007A1675"/>
    <w:rsid w:val="007A26B1"/>
    <w:rsid w:val="007A41C4"/>
    <w:rsid w:val="007A57CB"/>
    <w:rsid w:val="007A7685"/>
    <w:rsid w:val="007A7B39"/>
    <w:rsid w:val="007B0D98"/>
    <w:rsid w:val="007B2A21"/>
    <w:rsid w:val="007B2E32"/>
    <w:rsid w:val="007B419B"/>
    <w:rsid w:val="007B4430"/>
    <w:rsid w:val="007B45BE"/>
    <w:rsid w:val="007B50C9"/>
    <w:rsid w:val="007B61BF"/>
    <w:rsid w:val="007C1F27"/>
    <w:rsid w:val="007C5426"/>
    <w:rsid w:val="007C72AB"/>
    <w:rsid w:val="007D21BD"/>
    <w:rsid w:val="007D22D9"/>
    <w:rsid w:val="007D4118"/>
    <w:rsid w:val="007D4301"/>
    <w:rsid w:val="007D4427"/>
    <w:rsid w:val="007D4F20"/>
    <w:rsid w:val="007D5DC3"/>
    <w:rsid w:val="007D6248"/>
    <w:rsid w:val="007D679E"/>
    <w:rsid w:val="007D737A"/>
    <w:rsid w:val="007E162B"/>
    <w:rsid w:val="007E2300"/>
    <w:rsid w:val="007E247A"/>
    <w:rsid w:val="007E487F"/>
    <w:rsid w:val="007E5CD3"/>
    <w:rsid w:val="007E5DBD"/>
    <w:rsid w:val="007E7209"/>
    <w:rsid w:val="007F2F96"/>
    <w:rsid w:val="007F418F"/>
    <w:rsid w:val="007F5794"/>
    <w:rsid w:val="007F5BD8"/>
    <w:rsid w:val="00801244"/>
    <w:rsid w:val="008018C5"/>
    <w:rsid w:val="00801E28"/>
    <w:rsid w:val="00802D76"/>
    <w:rsid w:val="00805ADC"/>
    <w:rsid w:val="00805BF9"/>
    <w:rsid w:val="00806A36"/>
    <w:rsid w:val="008076B8"/>
    <w:rsid w:val="008129BD"/>
    <w:rsid w:val="00814AB8"/>
    <w:rsid w:val="00817274"/>
    <w:rsid w:val="008208D3"/>
    <w:rsid w:val="00821FE6"/>
    <w:rsid w:val="008224E9"/>
    <w:rsid w:val="00822A76"/>
    <w:rsid w:val="00824313"/>
    <w:rsid w:val="00826CFD"/>
    <w:rsid w:val="00827374"/>
    <w:rsid w:val="00830D24"/>
    <w:rsid w:val="00831368"/>
    <w:rsid w:val="00831718"/>
    <w:rsid w:val="0083526B"/>
    <w:rsid w:val="00836D87"/>
    <w:rsid w:val="00841D26"/>
    <w:rsid w:val="00843BC7"/>
    <w:rsid w:val="0084415F"/>
    <w:rsid w:val="00845605"/>
    <w:rsid w:val="00845D25"/>
    <w:rsid w:val="008465DE"/>
    <w:rsid w:val="008473BB"/>
    <w:rsid w:val="00847B1A"/>
    <w:rsid w:val="00847C14"/>
    <w:rsid w:val="00852504"/>
    <w:rsid w:val="00853390"/>
    <w:rsid w:val="00861871"/>
    <w:rsid w:val="00861E2A"/>
    <w:rsid w:val="00863150"/>
    <w:rsid w:val="00863E7E"/>
    <w:rsid w:val="00864534"/>
    <w:rsid w:val="00867244"/>
    <w:rsid w:val="00867CA7"/>
    <w:rsid w:val="0087191D"/>
    <w:rsid w:val="00871E3D"/>
    <w:rsid w:val="00872436"/>
    <w:rsid w:val="0088043B"/>
    <w:rsid w:val="008809E8"/>
    <w:rsid w:val="008819E7"/>
    <w:rsid w:val="00882188"/>
    <w:rsid w:val="00883885"/>
    <w:rsid w:val="0088414F"/>
    <w:rsid w:val="00884818"/>
    <w:rsid w:val="00886745"/>
    <w:rsid w:val="00891043"/>
    <w:rsid w:val="00891561"/>
    <w:rsid w:val="0089200E"/>
    <w:rsid w:val="0089294F"/>
    <w:rsid w:val="00897C0D"/>
    <w:rsid w:val="008A0029"/>
    <w:rsid w:val="008A2EB7"/>
    <w:rsid w:val="008A6BF3"/>
    <w:rsid w:val="008B0D76"/>
    <w:rsid w:val="008B139B"/>
    <w:rsid w:val="008B17A2"/>
    <w:rsid w:val="008B59AA"/>
    <w:rsid w:val="008B6A5B"/>
    <w:rsid w:val="008B7829"/>
    <w:rsid w:val="008B7A27"/>
    <w:rsid w:val="008C131B"/>
    <w:rsid w:val="008C2E5C"/>
    <w:rsid w:val="008C3937"/>
    <w:rsid w:val="008C53C0"/>
    <w:rsid w:val="008C53C4"/>
    <w:rsid w:val="008C6EFF"/>
    <w:rsid w:val="008C7DC8"/>
    <w:rsid w:val="008D01C9"/>
    <w:rsid w:val="008D02D9"/>
    <w:rsid w:val="008D1B80"/>
    <w:rsid w:val="008D2C5F"/>
    <w:rsid w:val="008D3031"/>
    <w:rsid w:val="008D3780"/>
    <w:rsid w:val="008D451D"/>
    <w:rsid w:val="008D4C66"/>
    <w:rsid w:val="008E12BF"/>
    <w:rsid w:val="008E2493"/>
    <w:rsid w:val="008E28EF"/>
    <w:rsid w:val="008E647E"/>
    <w:rsid w:val="008E65B9"/>
    <w:rsid w:val="008E6D7E"/>
    <w:rsid w:val="008E7890"/>
    <w:rsid w:val="008F18E4"/>
    <w:rsid w:val="008F1F67"/>
    <w:rsid w:val="008F257E"/>
    <w:rsid w:val="008F2AA2"/>
    <w:rsid w:val="008F2DBC"/>
    <w:rsid w:val="008F3195"/>
    <w:rsid w:val="008F3A55"/>
    <w:rsid w:val="008F6AFB"/>
    <w:rsid w:val="00901138"/>
    <w:rsid w:val="009038C1"/>
    <w:rsid w:val="00905EBC"/>
    <w:rsid w:val="0090634A"/>
    <w:rsid w:val="009078EB"/>
    <w:rsid w:val="009104F6"/>
    <w:rsid w:val="00911F42"/>
    <w:rsid w:val="00914DD6"/>
    <w:rsid w:val="00915138"/>
    <w:rsid w:val="00916C87"/>
    <w:rsid w:val="009177A1"/>
    <w:rsid w:val="00917C4D"/>
    <w:rsid w:val="0092304F"/>
    <w:rsid w:val="009237A4"/>
    <w:rsid w:val="00924762"/>
    <w:rsid w:val="00931B52"/>
    <w:rsid w:val="00931E4B"/>
    <w:rsid w:val="00932CCD"/>
    <w:rsid w:val="00933D36"/>
    <w:rsid w:val="00935CFC"/>
    <w:rsid w:val="00935E2E"/>
    <w:rsid w:val="00936A54"/>
    <w:rsid w:val="00936B39"/>
    <w:rsid w:val="009375D9"/>
    <w:rsid w:val="00937AF5"/>
    <w:rsid w:val="00937C59"/>
    <w:rsid w:val="00937E84"/>
    <w:rsid w:val="0094164D"/>
    <w:rsid w:val="00941A70"/>
    <w:rsid w:val="0094270F"/>
    <w:rsid w:val="009463FA"/>
    <w:rsid w:val="00951A3E"/>
    <w:rsid w:val="00951C41"/>
    <w:rsid w:val="00953BD0"/>
    <w:rsid w:val="00956753"/>
    <w:rsid w:val="00957B5F"/>
    <w:rsid w:val="00962F43"/>
    <w:rsid w:val="00972587"/>
    <w:rsid w:val="009763C0"/>
    <w:rsid w:val="00976E35"/>
    <w:rsid w:val="00976EA7"/>
    <w:rsid w:val="00976F87"/>
    <w:rsid w:val="009800D0"/>
    <w:rsid w:val="00980452"/>
    <w:rsid w:val="00980E28"/>
    <w:rsid w:val="00981D31"/>
    <w:rsid w:val="009835D6"/>
    <w:rsid w:val="009837CD"/>
    <w:rsid w:val="0098439C"/>
    <w:rsid w:val="00991774"/>
    <w:rsid w:val="009948E1"/>
    <w:rsid w:val="00995DBE"/>
    <w:rsid w:val="00995E4E"/>
    <w:rsid w:val="00997441"/>
    <w:rsid w:val="009A0169"/>
    <w:rsid w:val="009A26AD"/>
    <w:rsid w:val="009A3C74"/>
    <w:rsid w:val="009A513F"/>
    <w:rsid w:val="009A6069"/>
    <w:rsid w:val="009A628C"/>
    <w:rsid w:val="009A6963"/>
    <w:rsid w:val="009A7450"/>
    <w:rsid w:val="009B00C0"/>
    <w:rsid w:val="009B016E"/>
    <w:rsid w:val="009B2CF2"/>
    <w:rsid w:val="009B31B6"/>
    <w:rsid w:val="009B31ED"/>
    <w:rsid w:val="009B357F"/>
    <w:rsid w:val="009B3811"/>
    <w:rsid w:val="009B3C45"/>
    <w:rsid w:val="009B4382"/>
    <w:rsid w:val="009B4A33"/>
    <w:rsid w:val="009B52B7"/>
    <w:rsid w:val="009B5D01"/>
    <w:rsid w:val="009B7895"/>
    <w:rsid w:val="009C05C7"/>
    <w:rsid w:val="009C240C"/>
    <w:rsid w:val="009C3487"/>
    <w:rsid w:val="009C3ADB"/>
    <w:rsid w:val="009C3C51"/>
    <w:rsid w:val="009C4AF4"/>
    <w:rsid w:val="009C4FCC"/>
    <w:rsid w:val="009D0F11"/>
    <w:rsid w:val="009D1CA4"/>
    <w:rsid w:val="009D1D47"/>
    <w:rsid w:val="009D1E2A"/>
    <w:rsid w:val="009D297B"/>
    <w:rsid w:val="009D2B1A"/>
    <w:rsid w:val="009D45B1"/>
    <w:rsid w:val="009D4878"/>
    <w:rsid w:val="009D7435"/>
    <w:rsid w:val="009D753A"/>
    <w:rsid w:val="009E2FBD"/>
    <w:rsid w:val="009F04D4"/>
    <w:rsid w:val="009F0C1D"/>
    <w:rsid w:val="009F28E6"/>
    <w:rsid w:val="009F3B9D"/>
    <w:rsid w:val="009F5395"/>
    <w:rsid w:val="009F61CD"/>
    <w:rsid w:val="009F6B16"/>
    <w:rsid w:val="00A00294"/>
    <w:rsid w:val="00A01BF3"/>
    <w:rsid w:val="00A0285A"/>
    <w:rsid w:val="00A05BC0"/>
    <w:rsid w:val="00A10108"/>
    <w:rsid w:val="00A1286B"/>
    <w:rsid w:val="00A12AE1"/>
    <w:rsid w:val="00A13B92"/>
    <w:rsid w:val="00A174F5"/>
    <w:rsid w:val="00A201CB"/>
    <w:rsid w:val="00A20469"/>
    <w:rsid w:val="00A21990"/>
    <w:rsid w:val="00A22046"/>
    <w:rsid w:val="00A22FDF"/>
    <w:rsid w:val="00A269F6"/>
    <w:rsid w:val="00A32627"/>
    <w:rsid w:val="00A334FF"/>
    <w:rsid w:val="00A33AAF"/>
    <w:rsid w:val="00A33F8E"/>
    <w:rsid w:val="00A341ED"/>
    <w:rsid w:val="00A377D3"/>
    <w:rsid w:val="00A4053E"/>
    <w:rsid w:val="00A42FCC"/>
    <w:rsid w:val="00A44062"/>
    <w:rsid w:val="00A476B7"/>
    <w:rsid w:val="00A54678"/>
    <w:rsid w:val="00A55330"/>
    <w:rsid w:val="00A56161"/>
    <w:rsid w:val="00A6054B"/>
    <w:rsid w:val="00A609EF"/>
    <w:rsid w:val="00A60A85"/>
    <w:rsid w:val="00A60BA2"/>
    <w:rsid w:val="00A62FC9"/>
    <w:rsid w:val="00A779F1"/>
    <w:rsid w:val="00A82F90"/>
    <w:rsid w:val="00A83156"/>
    <w:rsid w:val="00A8697B"/>
    <w:rsid w:val="00A8754B"/>
    <w:rsid w:val="00A937BC"/>
    <w:rsid w:val="00A93CA6"/>
    <w:rsid w:val="00A9729D"/>
    <w:rsid w:val="00AA3AB0"/>
    <w:rsid w:val="00AA6AAC"/>
    <w:rsid w:val="00AB04ED"/>
    <w:rsid w:val="00AB0636"/>
    <w:rsid w:val="00AB16BD"/>
    <w:rsid w:val="00AB2BFD"/>
    <w:rsid w:val="00AB3542"/>
    <w:rsid w:val="00AB3684"/>
    <w:rsid w:val="00AB39BE"/>
    <w:rsid w:val="00AB40D7"/>
    <w:rsid w:val="00AB704C"/>
    <w:rsid w:val="00AB7836"/>
    <w:rsid w:val="00AB78DD"/>
    <w:rsid w:val="00AB7D7D"/>
    <w:rsid w:val="00AC0F20"/>
    <w:rsid w:val="00AC2611"/>
    <w:rsid w:val="00AC3A46"/>
    <w:rsid w:val="00AC48DB"/>
    <w:rsid w:val="00AC4E24"/>
    <w:rsid w:val="00AC502C"/>
    <w:rsid w:val="00AD0A6C"/>
    <w:rsid w:val="00AD1080"/>
    <w:rsid w:val="00AD135D"/>
    <w:rsid w:val="00AD15A0"/>
    <w:rsid w:val="00AD2280"/>
    <w:rsid w:val="00AD3C00"/>
    <w:rsid w:val="00AD3EC0"/>
    <w:rsid w:val="00AD48AB"/>
    <w:rsid w:val="00AD6922"/>
    <w:rsid w:val="00AD7733"/>
    <w:rsid w:val="00AE035B"/>
    <w:rsid w:val="00AE0FDC"/>
    <w:rsid w:val="00AE4859"/>
    <w:rsid w:val="00AE4D08"/>
    <w:rsid w:val="00AE6240"/>
    <w:rsid w:val="00AE6CA0"/>
    <w:rsid w:val="00AF12CA"/>
    <w:rsid w:val="00AF481E"/>
    <w:rsid w:val="00AF5C9A"/>
    <w:rsid w:val="00AF5E1D"/>
    <w:rsid w:val="00B019A0"/>
    <w:rsid w:val="00B020AA"/>
    <w:rsid w:val="00B03093"/>
    <w:rsid w:val="00B034B7"/>
    <w:rsid w:val="00B0769C"/>
    <w:rsid w:val="00B1092C"/>
    <w:rsid w:val="00B17337"/>
    <w:rsid w:val="00B2011B"/>
    <w:rsid w:val="00B206F6"/>
    <w:rsid w:val="00B218EA"/>
    <w:rsid w:val="00B2283B"/>
    <w:rsid w:val="00B25C5E"/>
    <w:rsid w:val="00B25CBD"/>
    <w:rsid w:val="00B25FD7"/>
    <w:rsid w:val="00B26607"/>
    <w:rsid w:val="00B26B22"/>
    <w:rsid w:val="00B2731C"/>
    <w:rsid w:val="00B277E3"/>
    <w:rsid w:val="00B31DB1"/>
    <w:rsid w:val="00B35587"/>
    <w:rsid w:val="00B3647A"/>
    <w:rsid w:val="00B36DDA"/>
    <w:rsid w:val="00B3792D"/>
    <w:rsid w:val="00B401B7"/>
    <w:rsid w:val="00B409E1"/>
    <w:rsid w:val="00B41A57"/>
    <w:rsid w:val="00B43921"/>
    <w:rsid w:val="00B44FA3"/>
    <w:rsid w:val="00B4565D"/>
    <w:rsid w:val="00B52A7A"/>
    <w:rsid w:val="00B53162"/>
    <w:rsid w:val="00B54305"/>
    <w:rsid w:val="00B5534F"/>
    <w:rsid w:val="00B57928"/>
    <w:rsid w:val="00B6066F"/>
    <w:rsid w:val="00B60F10"/>
    <w:rsid w:val="00B642A5"/>
    <w:rsid w:val="00B64E94"/>
    <w:rsid w:val="00B66D23"/>
    <w:rsid w:val="00B6757B"/>
    <w:rsid w:val="00B70E88"/>
    <w:rsid w:val="00B71AF5"/>
    <w:rsid w:val="00B72E92"/>
    <w:rsid w:val="00B75E6C"/>
    <w:rsid w:val="00B77875"/>
    <w:rsid w:val="00B82FAA"/>
    <w:rsid w:val="00B8379D"/>
    <w:rsid w:val="00B83FA9"/>
    <w:rsid w:val="00B85836"/>
    <w:rsid w:val="00B96275"/>
    <w:rsid w:val="00B9752E"/>
    <w:rsid w:val="00BA1EE2"/>
    <w:rsid w:val="00BA227B"/>
    <w:rsid w:val="00BA51F7"/>
    <w:rsid w:val="00BA708F"/>
    <w:rsid w:val="00BA71DE"/>
    <w:rsid w:val="00BB1ECC"/>
    <w:rsid w:val="00BB3816"/>
    <w:rsid w:val="00BB4D2E"/>
    <w:rsid w:val="00BB547E"/>
    <w:rsid w:val="00BB6D2E"/>
    <w:rsid w:val="00BB7474"/>
    <w:rsid w:val="00BB7AFB"/>
    <w:rsid w:val="00BC05C4"/>
    <w:rsid w:val="00BC0E6B"/>
    <w:rsid w:val="00BC10A8"/>
    <w:rsid w:val="00BC1FA5"/>
    <w:rsid w:val="00BC448F"/>
    <w:rsid w:val="00BC6D5E"/>
    <w:rsid w:val="00BC72E2"/>
    <w:rsid w:val="00BD255C"/>
    <w:rsid w:val="00BD413A"/>
    <w:rsid w:val="00BD4798"/>
    <w:rsid w:val="00BD4852"/>
    <w:rsid w:val="00BD48B9"/>
    <w:rsid w:val="00BD56F7"/>
    <w:rsid w:val="00BD7AEF"/>
    <w:rsid w:val="00BD7F1F"/>
    <w:rsid w:val="00BE0D3F"/>
    <w:rsid w:val="00BE2428"/>
    <w:rsid w:val="00BE2843"/>
    <w:rsid w:val="00BE336E"/>
    <w:rsid w:val="00BE33DF"/>
    <w:rsid w:val="00BE487C"/>
    <w:rsid w:val="00BE5353"/>
    <w:rsid w:val="00BE66C3"/>
    <w:rsid w:val="00BF600B"/>
    <w:rsid w:val="00BF649A"/>
    <w:rsid w:val="00BF69C1"/>
    <w:rsid w:val="00C002D2"/>
    <w:rsid w:val="00C00353"/>
    <w:rsid w:val="00C012FF"/>
    <w:rsid w:val="00C01A1F"/>
    <w:rsid w:val="00C0231D"/>
    <w:rsid w:val="00C066B2"/>
    <w:rsid w:val="00C14C77"/>
    <w:rsid w:val="00C17C58"/>
    <w:rsid w:val="00C21223"/>
    <w:rsid w:val="00C25815"/>
    <w:rsid w:val="00C25998"/>
    <w:rsid w:val="00C25A7C"/>
    <w:rsid w:val="00C25BBB"/>
    <w:rsid w:val="00C2690F"/>
    <w:rsid w:val="00C31E1A"/>
    <w:rsid w:val="00C32BC3"/>
    <w:rsid w:val="00C33E85"/>
    <w:rsid w:val="00C34FA1"/>
    <w:rsid w:val="00C35166"/>
    <w:rsid w:val="00C3695D"/>
    <w:rsid w:val="00C408D1"/>
    <w:rsid w:val="00C41D83"/>
    <w:rsid w:val="00C453DE"/>
    <w:rsid w:val="00C46254"/>
    <w:rsid w:val="00C462D4"/>
    <w:rsid w:val="00C47196"/>
    <w:rsid w:val="00C5095D"/>
    <w:rsid w:val="00C5229A"/>
    <w:rsid w:val="00C52E9A"/>
    <w:rsid w:val="00C534DF"/>
    <w:rsid w:val="00C54F73"/>
    <w:rsid w:val="00C552BE"/>
    <w:rsid w:val="00C5601A"/>
    <w:rsid w:val="00C57C0F"/>
    <w:rsid w:val="00C600D7"/>
    <w:rsid w:val="00C6034D"/>
    <w:rsid w:val="00C62F5B"/>
    <w:rsid w:val="00C630BD"/>
    <w:rsid w:val="00C641F8"/>
    <w:rsid w:val="00C64450"/>
    <w:rsid w:val="00C66795"/>
    <w:rsid w:val="00C6711D"/>
    <w:rsid w:val="00C70640"/>
    <w:rsid w:val="00C76022"/>
    <w:rsid w:val="00C770D6"/>
    <w:rsid w:val="00C80858"/>
    <w:rsid w:val="00C80E67"/>
    <w:rsid w:val="00C820C8"/>
    <w:rsid w:val="00C82C7B"/>
    <w:rsid w:val="00C838C8"/>
    <w:rsid w:val="00C84A78"/>
    <w:rsid w:val="00C9055F"/>
    <w:rsid w:val="00C952DD"/>
    <w:rsid w:val="00C95A57"/>
    <w:rsid w:val="00C96460"/>
    <w:rsid w:val="00CA024F"/>
    <w:rsid w:val="00CA0599"/>
    <w:rsid w:val="00CA06EB"/>
    <w:rsid w:val="00CA3DB6"/>
    <w:rsid w:val="00CA48AE"/>
    <w:rsid w:val="00CA5E28"/>
    <w:rsid w:val="00CA6FB4"/>
    <w:rsid w:val="00CB04BD"/>
    <w:rsid w:val="00CB13B0"/>
    <w:rsid w:val="00CB36F7"/>
    <w:rsid w:val="00CB633F"/>
    <w:rsid w:val="00CB6B3C"/>
    <w:rsid w:val="00CC0B8D"/>
    <w:rsid w:val="00CC0EB7"/>
    <w:rsid w:val="00CC0FAD"/>
    <w:rsid w:val="00CC25B6"/>
    <w:rsid w:val="00CC25BB"/>
    <w:rsid w:val="00CC4011"/>
    <w:rsid w:val="00CC4BA8"/>
    <w:rsid w:val="00CC54F2"/>
    <w:rsid w:val="00CC5EEB"/>
    <w:rsid w:val="00CC5FAC"/>
    <w:rsid w:val="00CC65D0"/>
    <w:rsid w:val="00CD16F1"/>
    <w:rsid w:val="00CD1C5F"/>
    <w:rsid w:val="00CD2DFD"/>
    <w:rsid w:val="00CD34D8"/>
    <w:rsid w:val="00CD78BB"/>
    <w:rsid w:val="00CD7CD5"/>
    <w:rsid w:val="00CD7DC3"/>
    <w:rsid w:val="00CE07D1"/>
    <w:rsid w:val="00CE0C39"/>
    <w:rsid w:val="00CE1E52"/>
    <w:rsid w:val="00CE353B"/>
    <w:rsid w:val="00CE4E6F"/>
    <w:rsid w:val="00CE52AD"/>
    <w:rsid w:val="00CE5649"/>
    <w:rsid w:val="00CE6236"/>
    <w:rsid w:val="00CF06F7"/>
    <w:rsid w:val="00CF158E"/>
    <w:rsid w:val="00CF38BF"/>
    <w:rsid w:val="00CF480C"/>
    <w:rsid w:val="00CF7A9C"/>
    <w:rsid w:val="00D00104"/>
    <w:rsid w:val="00D00A11"/>
    <w:rsid w:val="00D02325"/>
    <w:rsid w:val="00D02854"/>
    <w:rsid w:val="00D03915"/>
    <w:rsid w:val="00D049E4"/>
    <w:rsid w:val="00D05337"/>
    <w:rsid w:val="00D05B4A"/>
    <w:rsid w:val="00D131BD"/>
    <w:rsid w:val="00D13F49"/>
    <w:rsid w:val="00D15CF5"/>
    <w:rsid w:val="00D165AF"/>
    <w:rsid w:val="00D171E5"/>
    <w:rsid w:val="00D17FF8"/>
    <w:rsid w:val="00D2068E"/>
    <w:rsid w:val="00D206E5"/>
    <w:rsid w:val="00D224A6"/>
    <w:rsid w:val="00D23AC0"/>
    <w:rsid w:val="00D25CD4"/>
    <w:rsid w:val="00D27608"/>
    <w:rsid w:val="00D277E2"/>
    <w:rsid w:val="00D33FAB"/>
    <w:rsid w:val="00D36C4F"/>
    <w:rsid w:val="00D370ED"/>
    <w:rsid w:val="00D40CEC"/>
    <w:rsid w:val="00D418B2"/>
    <w:rsid w:val="00D41D8B"/>
    <w:rsid w:val="00D430AC"/>
    <w:rsid w:val="00D55051"/>
    <w:rsid w:val="00D55FA0"/>
    <w:rsid w:val="00D57612"/>
    <w:rsid w:val="00D57A75"/>
    <w:rsid w:val="00D60E38"/>
    <w:rsid w:val="00D61142"/>
    <w:rsid w:val="00D6268F"/>
    <w:rsid w:val="00D62C74"/>
    <w:rsid w:val="00D638A6"/>
    <w:rsid w:val="00D65D52"/>
    <w:rsid w:val="00D66932"/>
    <w:rsid w:val="00D67115"/>
    <w:rsid w:val="00D70061"/>
    <w:rsid w:val="00D72F1F"/>
    <w:rsid w:val="00D74BA6"/>
    <w:rsid w:val="00D74BCE"/>
    <w:rsid w:val="00D74E90"/>
    <w:rsid w:val="00D751B8"/>
    <w:rsid w:val="00D75BF0"/>
    <w:rsid w:val="00D76678"/>
    <w:rsid w:val="00D77BE4"/>
    <w:rsid w:val="00D801F4"/>
    <w:rsid w:val="00D82C95"/>
    <w:rsid w:val="00D84278"/>
    <w:rsid w:val="00D87840"/>
    <w:rsid w:val="00D9022F"/>
    <w:rsid w:val="00D9721E"/>
    <w:rsid w:val="00D97DEA"/>
    <w:rsid w:val="00D9A150"/>
    <w:rsid w:val="00DA071E"/>
    <w:rsid w:val="00DA0D50"/>
    <w:rsid w:val="00DA415A"/>
    <w:rsid w:val="00DA7DC5"/>
    <w:rsid w:val="00DB3C70"/>
    <w:rsid w:val="00DB7526"/>
    <w:rsid w:val="00DC52F5"/>
    <w:rsid w:val="00DC578A"/>
    <w:rsid w:val="00DC6721"/>
    <w:rsid w:val="00DC6909"/>
    <w:rsid w:val="00DD172B"/>
    <w:rsid w:val="00DD3CA9"/>
    <w:rsid w:val="00DD4177"/>
    <w:rsid w:val="00DD557C"/>
    <w:rsid w:val="00DD5D5C"/>
    <w:rsid w:val="00DD6A23"/>
    <w:rsid w:val="00DD71EB"/>
    <w:rsid w:val="00DE1198"/>
    <w:rsid w:val="00DE1521"/>
    <w:rsid w:val="00DE1A1F"/>
    <w:rsid w:val="00DE2521"/>
    <w:rsid w:val="00DE4498"/>
    <w:rsid w:val="00DE74E2"/>
    <w:rsid w:val="00DF037F"/>
    <w:rsid w:val="00DF1093"/>
    <w:rsid w:val="00DF2A55"/>
    <w:rsid w:val="00DF40CC"/>
    <w:rsid w:val="00DF4E03"/>
    <w:rsid w:val="00DF4F6B"/>
    <w:rsid w:val="00DF51AF"/>
    <w:rsid w:val="00DF611D"/>
    <w:rsid w:val="00DF6A40"/>
    <w:rsid w:val="00DF7895"/>
    <w:rsid w:val="00E00216"/>
    <w:rsid w:val="00E03871"/>
    <w:rsid w:val="00E05C62"/>
    <w:rsid w:val="00E071D0"/>
    <w:rsid w:val="00E07FED"/>
    <w:rsid w:val="00E136FF"/>
    <w:rsid w:val="00E14506"/>
    <w:rsid w:val="00E15A4E"/>
    <w:rsid w:val="00E166C6"/>
    <w:rsid w:val="00E17973"/>
    <w:rsid w:val="00E215CB"/>
    <w:rsid w:val="00E2178A"/>
    <w:rsid w:val="00E218A0"/>
    <w:rsid w:val="00E22053"/>
    <w:rsid w:val="00E228FF"/>
    <w:rsid w:val="00E22F5E"/>
    <w:rsid w:val="00E244EF"/>
    <w:rsid w:val="00E3165E"/>
    <w:rsid w:val="00E31896"/>
    <w:rsid w:val="00E3247E"/>
    <w:rsid w:val="00E34BD5"/>
    <w:rsid w:val="00E35065"/>
    <w:rsid w:val="00E35362"/>
    <w:rsid w:val="00E35DEF"/>
    <w:rsid w:val="00E35F38"/>
    <w:rsid w:val="00E37911"/>
    <w:rsid w:val="00E42783"/>
    <w:rsid w:val="00E42CED"/>
    <w:rsid w:val="00E43C69"/>
    <w:rsid w:val="00E45539"/>
    <w:rsid w:val="00E45E08"/>
    <w:rsid w:val="00E4727B"/>
    <w:rsid w:val="00E476C2"/>
    <w:rsid w:val="00E50E31"/>
    <w:rsid w:val="00E52104"/>
    <w:rsid w:val="00E527F9"/>
    <w:rsid w:val="00E56375"/>
    <w:rsid w:val="00E56479"/>
    <w:rsid w:val="00E56C0B"/>
    <w:rsid w:val="00E573A8"/>
    <w:rsid w:val="00E57D28"/>
    <w:rsid w:val="00E602DE"/>
    <w:rsid w:val="00E60758"/>
    <w:rsid w:val="00E60919"/>
    <w:rsid w:val="00E60C4A"/>
    <w:rsid w:val="00E636D8"/>
    <w:rsid w:val="00E63AA8"/>
    <w:rsid w:val="00E650D9"/>
    <w:rsid w:val="00E660CD"/>
    <w:rsid w:val="00E70559"/>
    <w:rsid w:val="00E71440"/>
    <w:rsid w:val="00E727B8"/>
    <w:rsid w:val="00E73131"/>
    <w:rsid w:val="00E7368B"/>
    <w:rsid w:val="00E73938"/>
    <w:rsid w:val="00E74260"/>
    <w:rsid w:val="00E749F7"/>
    <w:rsid w:val="00E7549E"/>
    <w:rsid w:val="00E7599C"/>
    <w:rsid w:val="00E80166"/>
    <w:rsid w:val="00E81BEC"/>
    <w:rsid w:val="00E85123"/>
    <w:rsid w:val="00E85BF0"/>
    <w:rsid w:val="00E87F7B"/>
    <w:rsid w:val="00E90492"/>
    <w:rsid w:val="00E915D6"/>
    <w:rsid w:val="00E92D25"/>
    <w:rsid w:val="00E9520A"/>
    <w:rsid w:val="00E970BE"/>
    <w:rsid w:val="00EA171E"/>
    <w:rsid w:val="00EA1C90"/>
    <w:rsid w:val="00EA32BB"/>
    <w:rsid w:val="00EA3D00"/>
    <w:rsid w:val="00EA463D"/>
    <w:rsid w:val="00EA5A44"/>
    <w:rsid w:val="00EA67FF"/>
    <w:rsid w:val="00EB01F1"/>
    <w:rsid w:val="00EB0F53"/>
    <w:rsid w:val="00EB1BCA"/>
    <w:rsid w:val="00EB1D44"/>
    <w:rsid w:val="00EB345E"/>
    <w:rsid w:val="00EB46F6"/>
    <w:rsid w:val="00EB6BC9"/>
    <w:rsid w:val="00EC008A"/>
    <w:rsid w:val="00EC2489"/>
    <w:rsid w:val="00EC4924"/>
    <w:rsid w:val="00ED0CBE"/>
    <w:rsid w:val="00ED3E57"/>
    <w:rsid w:val="00ED5E45"/>
    <w:rsid w:val="00EE0331"/>
    <w:rsid w:val="00EE0EFF"/>
    <w:rsid w:val="00EE1121"/>
    <w:rsid w:val="00EE25DA"/>
    <w:rsid w:val="00EE3944"/>
    <w:rsid w:val="00EE4D4D"/>
    <w:rsid w:val="00EE5FD1"/>
    <w:rsid w:val="00EE77FA"/>
    <w:rsid w:val="00EE78C9"/>
    <w:rsid w:val="00EF00D4"/>
    <w:rsid w:val="00EF041F"/>
    <w:rsid w:val="00EF4710"/>
    <w:rsid w:val="00EF7906"/>
    <w:rsid w:val="00F00E0E"/>
    <w:rsid w:val="00F00FCA"/>
    <w:rsid w:val="00F011E3"/>
    <w:rsid w:val="00F012E1"/>
    <w:rsid w:val="00F01B6C"/>
    <w:rsid w:val="00F02B60"/>
    <w:rsid w:val="00F04E13"/>
    <w:rsid w:val="00F0697D"/>
    <w:rsid w:val="00F1020A"/>
    <w:rsid w:val="00F13C78"/>
    <w:rsid w:val="00F13DCA"/>
    <w:rsid w:val="00F16B6E"/>
    <w:rsid w:val="00F17088"/>
    <w:rsid w:val="00F20F95"/>
    <w:rsid w:val="00F219DF"/>
    <w:rsid w:val="00F21AF5"/>
    <w:rsid w:val="00F22F7C"/>
    <w:rsid w:val="00F23436"/>
    <w:rsid w:val="00F23CEA"/>
    <w:rsid w:val="00F2668D"/>
    <w:rsid w:val="00F27387"/>
    <w:rsid w:val="00F275BD"/>
    <w:rsid w:val="00F27817"/>
    <w:rsid w:val="00F30623"/>
    <w:rsid w:val="00F31871"/>
    <w:rsid w:val="00F31C41"/>
    <w:rsid w:val="00F3261A"/>
    <w:rsid w:val="00F33610"/>
    <w:rsid w:val="00F34713"/>
    <w:rsid w:val="00F356A4"/>
    <w:rsid w:val="00F37030"/>
    <w:rsid w:val="00F374E1"/>
    <w:rsid w:val="00F40111"/>
    <w:rsid w:val="00F4237D"/>
    <w:rsid w:val="00F4347A"/>
    <w:rsid w:val="00F45437"/>
    <w:rsid w:val="00F4558B"/>
    <w:rsid w:val="00F474A9"/>
    <w:rsid w:val="00F47FA1"/>
    <w:rsid w:val="00F52291"/>
    <w:rsid w:val="00F5237C"/>
    <w:rsid w:val="00F54021"/>
    <w:rsid w:val="00F5789D"/>
    <w:rsid w:val="00F57DA9"/>
    <w:rsid w:val="00F608B5"/>
    <w:rsid w:val="00F61592"/>
    <w:rsid w:val="00F62195"/>
    <w:rsid w:val="00F6303D"/>
    <w:rsid w:val="00F649A8"/>
    <w:rsid w:val="00F65050"/>
    <w:rsid w:val="00F659D3"/>
    <w:rsid w:val="00F66FBF"/>
    <w:rsid w:val="00F75187"/>
    <w:rsid w:val="00F7685B"/>
    <w:rsid w:val="00F77D5C"/>
    <w:rsid w:val="00F814F2"/>
    <w:rsid w:val="00F81DFD"/>
    <w:rsid w:val="00F847BE"/>
    <w:rsid w:val="00F84C15"/>
    <w:rsid w:val="00F84F4D"/>
    <w:rsid w:val="00F8548B"/>
    <w:rsid w:val="00F8553B"/>
    <w:rsid w:val="00F856BF"/>
    <w:rsid w:val="00F85B3D"/>
    <w:rsid w:val="00F87F8C"/>
    <w:rsid w:val="00F90B0C"/>
    <w:rsid w:val="00F92ED3"/>
    <w:rsid w:val="00F945AC"/>
    <w:rsid w:val="00F9573C"/>
    <w:rsid w:val="00F978C3"/>
    <w:rsid w:val="00F97B70"/>
    <w:rsid w:val="00F97C9E"/>
    <w:rsid w:val="00FA0744"/>
    <w:rsid w:val="00FA0B22"/>
    <w:rsid w:val="00FA2C3A"/>
    <w:rsid w:val="00FA3C0D"/>
    <w:rsid w:val="00FA6C72"/>
    <w:rsid w:val="00FA6EC5"/>
    <w:rsid w:val="00FB03CA"/>
    <w:rsid w:val="00FB1897"/>
    <w:rsid w:val="00FB68A7"/>
    <w:rsid w:val="00FC10DE"/>
    <w:rsid w:val="00FC1B15"/>
    <w:rsid w:val="00FC21FF"/>
    <w:rsid w:val="00FC2592"/>
    <w:rsid w:val="00FC3A88"/>
    <w:rsid w:val="00FC43B8"/>
    <w:rsid w:val="00FC7D8B"/>
    <w:rsid w:val="00FD1758"/>
    <w:rsid w:val="00FD1BE3"/>
    <w:rsid w:val="00FD1D32"/>
    <w:rsid w:val="00FD1FC5"/>
    <w:rsid w:val="00FD3299"/>
    <w:rsid w:val="00FD4E0B"/>
    <w:rsid w:val="00FD58C4"/>
    <w:rsid w:val="00FE2CC8"/>
    <w:rsid w:val="00FE2CED"/>
    <w:rsid w:val="00FE2F2F"/>
    <w:rsid w:val="00FE6E15"/>
    <w:rsid w:val="00FE6F9D"/>
    <w:rsid w:val="00FF09DC"/>
    <w:rsid w:val="00FF6B37"/>
    <w:rsid w:val="00FF7403"/>
    <w:rsid w:val="018BF560"/>
    <w:rsid w:val="01C1ACED"/>
    <w:rsid w:val="01C37E60"/>
    <w:rsid w:val="01C9E37E"/>
    <w:rsid w:val="01FB511B"/>
    <w:rsid w:val="02611F9A"/>
    <w:rsid w:val="028CF145"/>
    <w:rsid w:val="0320CD62"/>
    <w:rsid w:val="03A3E161"/>
    <w:rsid w:val="03F8AB0E"/>
    <w:rsid w:val="04A81DB1"/>
    <w:rsid w:val="04D92691"/>
    <w:rsid w:val="05856BA3"/>
    <w:rsid w:val="06217679"/>
    <w:rsid w:val="0654C7E1"/>
    <w:rsid w:val="06764C2B"/>
    <w:rsid w:val="06BDEC6D"/>
    <w:rsid w:val="06E6ABC7"/>
    <w:rsid w:val="06F116A0"/>
    <w:rsid w:val="072848FE"/>
    <w:rsid w:val="079C8619"/>
    <w:rsid w:val="0851E896"/>
    <w:rsid w:val="08C57CA7"/>
    <w:rsid w:val="08F79DBD"/>
    <w:rsid w:val="092178E1"/>
    <w:rsid w:val="0935A3E8"/>
    <w:rsid w:val="09842A94"/>
    <w:rsid w:val="0A567182"/>
    <w:rsid w:val="0A8608F9"/>
    <w:rsid w:val="0A95B158"/>
    <w:rsid w:val="0B269DD9"/>
    <w:rsid w:val="0C644ABB"/>
    <w:rsid w:val="0CF7D2A8"/>
    <w:rsid w:val="0D8BE92E"/>
    <w:rsid w:val="0DBBF512"/>
    <w:rsid w:val="0EFE7D43"/>
    <w:rsid w:val="0F4B2107"/>
    <w:rsid w:val="0F81E89E"/>
    <w:rsid w:val="100DDB2F"/>
    <w:rsid w:val="10690DF7"/>
    <w:rsid w:val="10AE8D2F"/>
    <w:rsid w:val="10CE129D"/>
    <w:rsid w:val="112D16AC"/>
    <w:rsid w:val="1167A8AB"/>
    <w:rsid w:val="116AA3CB"/>
    <w:rsid w:val="11D35947"/>
    <w:rsid w:val="11F83101"/>
    <w:rsid w:val="12D01251"/>
    <w:rsid w:val="12E5EBBA"/>
    <w:rsid w:val="1330C6BF"/>
    <w:rsid w:val="13504531"/>
    <w:rsid w:val="142109AE"/>
    <w:rsid w:val="1491EA50"/>
    <w:rsid w:val="14D8A7FF"/>
    <w:rsid w:val="15382570"/>
    <w:rsid w:val="155EB167"/>
    <w:rsid w:val="15DD2DA0"/>
    <w:rsid w:val="15EF3234"/>
    <w:rsid w:val="15F60117"/>
    <w:rsid w:val="16A65745"/>
    <w:rsid w:val="16BB5F8F"/>
    <w:rsid w:val="16C4EE55"/>
    <w:rsid w:val="17BD3E6F"/>
    <w:rsid w:val="17EC7094"/>
    <w:rsid w:val="18161306"/>
    <w:rsid w:val="186F6602"/>
    <w:rsid w:val="195BA778"/>
    <w:rsid w:val="1A35C4C6"/>
    <w:rsid w:val="1A38342F"/>
    <w:rsid w:val="1A3F665E"/>
    <w:rsid w:val="1A9614D7"/>
    <w:rsid w:val="1AAB38D8"/>
    <w:rsid w:val="1BAB47DF"/>
    <w:rsid w:val="1C8B93F2"/>
    <w:rsid w:val="1CB0770A"/>
    <w:rsid w:val="1CCBEF08"/>
    <w:rsid w:val="1D402565"/>
    <w:rsid w:val="1D62D38E"/>
    <w:rsid w:val="1D7F314E"/>
    <w:rsid w:val="1E5C49EA"/>
    <w:rsid w:val="1E7EB2A2"/>
    <w:rsid w:val="1EAE247E"/>
    <w:rsid w:val="1EDE9D3F"/>
    <w:rsid w:val="1EFD5D80"/>
    <w:rsid w:val="1F6AE8CC"/>
    <w:rsid w:val="1FE0F7EF"/>
    <w:rsid w:val="1FFC3F88"/>
    <w:rsid w:val="2082860C"/>
    <w:rsid w:val="20A643AC"/>
    <w:rsid w:val="20DFC591"/>
    <w:rsid w:val="21750D10"/>
    <w:rsid w:val="21D60305"/>
    <w:rsid w:val="21FBA0FE"/>
    <w:rsid w:val="222336DF"/>
    <w:rsid w:val="22F008CD"/>
    <w:rsid w:val="236DBB3B"/>
    <w:rsid w:val="23C2E930"/>
    <w:rsid w:val="2424E3EA"/>
    <w:rsid w:val="244FD07C"/>
    <w:rsid w:val="24E3837F"/>
    <w:rsid w:val="256CC73B"/>
    <w:rsid w:val="257103FD"/>
    <w:rsid w:val="25850BA3"/>
    <w:rsid w:val="25B13D38"/>
    <w:rsid w:val="26B3057C"/>
    <w:rsid w:val="274FD44C"/>
    <w:rsid w:val="286FD889"/>
    <w:rsid w:val="28A302C0"/>
    <w:rsid w:val="29055A9D"/>
    <w:rsid w:val="2927E9B6"/>
    <w:rsid w:val="2957EAB9"/>
    <w:rsid w:val="297F0691"/>
    <w:rsid w:val="299CC182"/>
    <w:rsid w:val="2A3A322B"/>
    <w:rsid w:val="2CB62C25"/>
    <w:rsid w:val="2CC664DC"/>
    <w:rsid w:val="2D156AB4"/>
    <w:rsid w:val="2E0D3D59"/>
    <w:rsid w:val="2F9FB2F3"/>
    <w:rsid w:val="31688B2F"/>
    <w:rsid w:val="32CF7CD4"/>
    <w:rsid w:val="32EBF773"/>
    <w:rsid w:val="32EE0C1D"/>
    <w:rsid w:val="335C50F8"/>
    <w:rsid w:val="33708EA2"/>
    <w:rsid w:val="33865C1A"/>
    <w:rsid w:val="33937EAD"/>
    <w:rsid w:val="33C00235"/>
    <w:rsid w:val="33C54C21"/>
    <w:rsid w:val="33C8714E"/>
    <w:rsid w:val="33FA2803"/>
    <w:rsid w:val="33FBA7FD"/>
    <w:rsid w:val="34376EBA"/>
    <w:rsid w:val="3514D1AB"/>
    <w:rsid w:val="3522AFC2"/>
    <w:rsid w:val="355BFCBF"/>
    <w:rsid w:val="355F21B3"/>
    <w:rsid w:val="359215F9"/>
    <w:rsid w:val="35CD9FB9"/>
    <w:rsid w:val="35CF647E"/>
    <w:rsid w:val="35DBF89C"/>
    <w:rsid w:val="365E7CE0"/>
    <w:rsid w:val="36673F67"/>
    <w:rsid w:val="36AC2B6F"/>
    <w:rsid w:val="36D1207A"/>
    <w:rsid w:val="36D46BD1"/>
    <w:rsid w:val="374B698D"/>
    <w:rsid w:val="3786E3E1"/>
    <w:rsid w:val="37AC4853"/>
    <w:rsid w:val="37C0679E"/>
    <w:rsid w:val="37E5447A"/>
    <w:rsid w:val="384C691D"/>
    <w:rsid w:val="38BED10E"/>
    <w:rsid w:val="38C7AC91"/>
    <w:rsid w:val="390B463E"/>
    <w:rsid w:val="3A75E092"/>
    <w:rsid w:val="3B413ACD"/>
    <w:rsid w:val="3B96B844"/>
    <w:rsid w:val="3C45B80A"/>
    <w:rsid w:val="3C7BC16B"/>
    <w:rsid w:val="3D36161B"/>
    <w:rsid w:val="3D4FE179"/>
    <w:rsid w:val="3D7DFEE3"/>
    <w:rsid w:val="3DB15FF3"/>
    <w:rsid w:val="3DCE5CAB"/>
    <w:rsid w:val="3E59F27D"/>
    <w:rsid w:val="3EAF5095"/>
    <w:rsid w:val="3F1E40AD"/>
    <w:rsid w:val="3F459A55"/>
    <w:rsid w:val="3F76A860"/>
    <w:rsid w:val="3FF5D8E4"/>
    <w:rsid w:val="3FFAF9C4"/>
    <w:rsid w:val="4056CCD2"/>
    <w:rsid w:val="405F01E5"/>
    <w:rsid w:val="4068CABF"/>
    <w:rsid w:val="40D3C5AF"/>
    <w:rsid w:val="40DA3E10"/>
    <w:rsid w:val="4125F4D3"/>
    <w:rsid w:val="414F9B8C"/>
    <w:rsid w:val="419CED46"/>
    <w:rsid w:val="41EFA3D2"/>
    <w:rsid w:val="42158874"/>
    <w:rsid w:val="42167552"/>
    <w:rsid w:val="425AC467"/>
    <w:rsid w:val="42FE2B43"/>
    <w:rsid w:val="43600B9D"/>
    <w:rsid w:val="4386F3D3"/>
    <w:rsid w:val="439FED25"/>
    <w:rsid w:val="4495B4CD"/>
    <w:rsid w:val="44E86778"/>
    <w:rsid w:val="44F1EF09"/>
    <w:rsid w:val="45470B30"/>
    <w:rsid w:val="4557113E"/>
    <w:rsid w:val="457CF006"/>
    <w:rsid w:val="45CD2D0C"/>
    <w:rsid w:val="460A1C43"/>
    <w:rsid w:val="46BA71BF"/>
    <w:rsid w:val="46C453D7"/>
    <w:rsid w:val="46D640AB"/>
    <w:rsid w:val="4751A929"/>
    <w:rsid w:val="48310C32"/>
    <w:rsid w:val="488F54CE"/>
    <w:rsid w:val="489E4FE9"/>
    <w:rsid w:val="4A629BAB"/>
    <w:rsid w:val="4AB23164"/>
    <w:rsid w:val="4AE61352"/>
    <w:rsid w:val="4C77A8FD"/>
    <w:rsid w:val="4CB8F366"/>
    <w:rsid w:val="4D4AE845"/>
    <w:rsid w:val="4DB583C1"/>
    <w:rsid w:val="4DD429EE"/>
    <w:rsid w:val="4E1E77DE"/>
    <w:rsid w:val="4E26E260"/>
    <w:rsid w:val="4E573620"/>
    <w:rsid w:val="4FB567DB"/>
    <w:rsid w:val="50F81542"/>
    <w:rsid w:val="51E6C243"/>
    <w:rsid w:val="52820B5F"/>
    <w:rsid w:val="52DD0CD3"/>
    <w:rsid w:val="53452BFE"/>
    <w:rsid w:val="53BC8BD6"/>
    <w:rsid w:val="53CCF460"/>
    <w:rsid w:val="542D12D0"/>
    <w:rsid w:val="542F81A4"/>
    <w:rsid w:val="547A6A2F"/>
    <w:rsid w:val="54CCD16F"/>
    <w:rsid w:val="554D49CD"/>
    <w:rsid w:val="55C6F392"/>
    <w:rsid w:val="55C74279"/>
    <w:rsid w:val="55FF2CBF"/>
    <w:rsid w:val="564DE5D0"/>
    <w:rsid w:val="5660C760"/>
    <w:rsid w:val="56948E63"/>
    <w:rsid w:val="56C484A5"/>
    <w:rsid w:val="570B979A"/>
    <w:rsid w:val="575BED08"/>
    <w:rsid w:val="57C93EE2"/>
    <w:rsid w:val="58AF2864"/>
    <w:rsid w:val="58BE019F"/>
    <w:rsid w:val="58D9810E"/>
    <w:rsid w:val="59160E08"/>
    <w:rsid w:val="59639EF4"/>
    <w:rsid w:val="59F3A9C8"/>
    <w:rsid w:val="5A26E22F"/>
    <w:rsid w:val="5A45F64D"/>
    <w:rsid w:val="5A63697F"/>
    <w:rsid w:val="5B60CE67"/>
    <w:rsid w:val="5B870E3D"/>
    <w:rsid w:val="5BE35945"/>
    <w:rsid w:val="5C4B2ED8"/>
    <w:rsid w:val="5C4BB938"/>
    <w:rsid w:val="5C5B7D74"/>
    <w:rsid w:val="5E070A60"/>
    <w:rsid w:val="5E5DAE55"/>
    <w:rsid w:val="5E6B839C"/>
    <w:rsid w:val="5F6178BB"/>
    <w:rsid w:val="602E5AC9"/>
    <w:rsid w:val="61117952"/>
    <w:rsid w:val="61125648"/>
    <w:rsid w:val="61913025"/>
    <w:rsid w:val="6206B7FC"/>
    <w:rsid w:val="628A9BD2"/>
    <w:rsid w:val="628B8E5F"/>
    <w:rsid w:val="62EA1C3F"/>
    <w:rsid w:val="63092F00"/>
    <w:rsid w:val="635575B3"/>
    <w:rsid w:val="6371C5CE"/>
    <w:rsid w:val="639A22F6"/>
    <w:rsid w:val="63A5F07E"/>
    <w:rsid w:val="640EDF6D"/>
    <w:rsid w:val="64544A8A"/>
    <w:rsid w:val="64560048"/>
    <w:rsid w:val="65085E72"/>
    <w:rsid w:val="650BF469"/>
    <w:rsid w:val="65AA1EB5"/>
    <w:rsid w:val="65CE139E"/>
    <w:rsid w:val="665F983C"/>
    <w:rsid w:val="666702F7"/>
    <w:rsid w:val="6688B71B"/>
    <w:rsid w:val="668BE214"/>
    <w:rsid w:val="66FC0728"/>
    <w:rsid w:val="67B88ED3"/>
    <w:rsid w:val="6825554B"/>
    <w:rsid w:val="68426F12"/>
    <w:rsid w:val="688DD96E"/>
    <w:rsid w:val="68FF231F"/>
    <w:rsid w:val="6973C54A"/>
    <w:rsid w:val="6977533C"/>
    <w:rsid w:val="69B34000"/>
    <w:rsid w:val="6A70BC72"/>
    <w:rsid w:val="6B4CA677"/>
    <w:rsid w:val="6B6E1CC5"/>
    <w:rsid w:val="6B9F32E7"/>
    <w:rsid w:val="6BBE9649"/>
    <w:rsid w:val="6C47B5C3"/>
    <w:rsid w:val="6C52F0B5"/>
    <w:rsid w:val="6C6DE026"/>
    <w:rsid w:val="6C7255E5"/>
    <w:rsid w:val="6CAA94A2"/>
    <w:rsid w:val="6D3BCAA6"/>
    <w:rsid w:val="6DE0166F"/>
    <w:rsid w:val="6E031EC5"/>
    <w:rsid w:val="6E7908E8"/>
    <w:rsid w:val="6EA75029"/>
    <w:rsid w:val="6EC10154"/>
    <w:rsid w:val="6ECE1358"/>
    <w:rsid w:val="6FCF148F"/>
    <w:rsid w:val="6FF5C542"/>
    <w:rsid w:val="7098DCBF"/>
    <w:rsid w:val="70B0EF9C"/>
    <w:rsid w:val="70BEE7C2"/>
    <w:rsid w:val="713FFD5A"/>
    <w:rsid w:val="727F2310"/>
    <w:rsid w:val="72A4B490"/>
    <w:rsid w:val="72C4B246"/>
    <w:rsid w:val="731A558C"/>
    <w:rsid w:val="739C528F"/>
    <w:rsid w:val="73EA94FA"/>
    <w:rsid w:val="74392F4B"/>
    <w:rsid w:val="745F2532"/>
    <w:rsid w:val="75115BC7"/>
    <w:rsid w:val="755D6044"/>
    <w:rsid w:val="75616293"/>
    <w:rsid w:val="75CB6915"/>
    <w:rsid w:val="75FF05CF"/>
    <w:rsid w:val="774CB253"/>
    <w:rsid w:val="77BFB23C"/>
    <w:rsid w:val="77D79129"/>
    <w:rsid w:val="784F1EE0"/>
    <w:rsid w:val="78602719"/>
    <w:rsid w:val="7957BEEA"/>
    <w:rsid w:val="797AF77B"/>
    <w:rsid w:val="7A93F5D6"/>
    <w:rsid w:val="7A9C2A01"/>
    <w:rsid w:val="7AE1904D"/>
    <w:rsid w:val="7B2B8A91"/>
    <w:rsid w:val="7B4A7C3A"/>
    <w:rsid w:val="7B613CED"/>
    <w:rsid w:val="7C8F1A08"/>
    <w:rsid w:val="7D085923"/>
    <w:rsid w:val="7E1BD69E"/>
    <w:rsid w:val="7F7A6610"/>
    <w:rsid w:val="7FA2EAEF"/>
    <w:rsid w:val="7FBE4603"/>
    <w:rsid w:val="7FC0E8AC"/>
    <w:rsid w:val="7FE3B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922668ED-5996-4D5E-A5E3-7AA45189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Revision">
    <w:name w:val="Revision"/>
    <w:hidden/>
    <w:uiPriority w:val="99"/>
    <w:semiHidden/>
    <w:rsid w:val="00CD7CD5"/>
    <w:rPr>
      <w:rFonts w:ascii="Arial" w:hAnsi="Arial" w:cs="Arial"/>
      <w:sz w:val="22"/>
      <w:szCs w:val="22"/>
      <w:lang w:val="en-GB" w:eastAsia="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s="Arial"/>
      <w:lang w:val="en-GB" w:eastAsia="en-US"/>
    </w:rPr>
  </w:style>
  <w:style w:type="character" w:styleId="CommentReference">
    <w:name w:val="annotation reference"/>
    <w:basedOn w:val="DefaultParagraphFont"/>
    <w:rPr>
      <w:sz w:val="16"/>
      <w:szCs w:val="16"/>
    </w:rPr>
  </w:style>
  <w:style w:type="character" w:styleId="UnresolvedMention">
    <w:name w:val="Unresolved Mention"/>
    <w:basedOn w:val="DefaultParagraphFont"/>
    <w:uiPriority w:val="99"/>
    <w:semiHidden/>
    <w:unhideWhenUsed/>
    <w:rsid w:val="004A1F83"/>
    <w:rPr>
      <w:color w:val="605E5C"/>
      <w:shd w:val="clear" w:color="auto" w:fill="E1DFDD"/>
    </w:rPr>
  </w:style>
  <w:style w:type="paragraph" w:styleId="CommentSubject">
    <w:name w:val="annotation subject"/>
    <w:basedOn w:val="CommentText"/>
    <w:next w:val="CommentText"/>
    <w:link w:val="CommentSubjectChar"/>
    <w:rsid w:val="00D97DEA"/>
    <w:rPr>
      <w:b/>
      <w:bCs/>
    </w:rPr>
  </w:style>
  <w:style w:type="character" w:customStyle="1" w:styleId="CommentSubjectChar">
    <w:name w:val="Comment Subject Char"/>
    <w:basedOn w:val="CommentTextChar"/>
    <w:link w:val="CommentSubject"/>
    <w:rsid w:val="00D97DEA"/>
    <w:rPr>
      <w:rFonts w:ascii="Arial" w:hAnsi="Arial" w:cs="Arial"/>
      <w:b/>
      <w:bCs/>
      <w:lang w:val="en-GB" w:eastAsia="en-US"/>
    </w:rPr>
  </w:style>
  <w:style w:type="character" w:styleId="Mention">
    <w:name w:val="Mention"/>
    <w:basedOn w:val="DefaultParagraphFont"/>
    <w:uiPriority w:val="99"/>
    <w:unhideWhenUsed/>
    <w:rsid w:val="00120CBC"/>
    <w:rPr>
      <w:color w:val="2B579A"/>
      <w:shd w:val="clear" w:color="auto" w:fill="E6E6E6"/>
    </w:rPr>
  </w:style>
  <w:style w:type="paragraph" w:styleId="ListParagraph">
    <w:name w:val="List Paragraph"/>
    <w:basedOn w:val="Normal"/>
    <w:uiPriority w:val="34"/>
    <w:qFormat/>
    <w:rsid w:val="007F4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29598">
      <w:bodyDiv w:val="1"/>
      <w:marLeft w:val="0"/>
      <w:marRight w:val="0"/>
      <w:marTop w:val="0"/>
      <w:marBottom w:val="0"/>
      <w:divBdr>
        <w:top w:val="none" w:sz="0" w:space="0" w:color="auto"/>
        <w:left w:val="none" w:sz="0" w:space="0" w:color="auto"/>
        <w:bottom w:val="none" w:sz="0" w:space="0" w:color="auto"/>
        <w:right w:val="none" w:sz="0" w:space="0" w:color="auto"/>
      </w:divBdr>
    </w:div>
    <w:div w:id="1007438103">
      <w:bodyDiv w:val="1"/>
      <w:marLeft w:val="0"/>
      <w:marRight w:val="0"/>
      <w:marTop w:val="0"/>
      <w:marBottom w:val="0"/>
      <w:divBdr>
        <w:top w:val="none" w:sz="0" w:space="0" w:color="auto"/>
        <w:left w:val="none" w:sz="0" w:space="0" w:color="auto"/>
        <w:bottom w:val="none" w:sz="0" w:space="0" w:color="auto"/>
        <w:right w:val="none" w:sz="0" w:space="0" w:color="auto"/>
      </w:divBdr>
    </w:div>
    <w:div w:id="1334576335">
      <w:bodyDiv w:val="1"/>
      <w:marLeft w:val="0"/>
      <w:marRight w:val="0"/>
      <w:marTop w:val="0"/>
      <w:marBottom w:val="0"/>
      <w:divBdr>
        <w:top w:val="none" w:sz="0" w:space="0" w:color="auto"/>
        <w:left w:val="none" w:sz="0" w:space="0" w:color="auto"/>
        <w:bottom w:val="none" w:sz="0" w:space="0" w:color="auto"/>
        <w:right w:val="none" w:sz="0" w:space="0" w:color="auto"/>
      </w:divBdr>
    </w:div>
    <w:div w:id="17466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929/ethz-b-000580955" TargetMode="External"/><Relationship Id="rId18" Type="http://schemas.openxmlformats.org/officeDocument/2006/relationships/hyperlink" Target="https://rwandalii.org/akn/rw/act/law/2013/47bis/eng@2013-09-16/source"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i.org/10.1016/j.scitotenv.2008.09.040" TargetMode="External"/><Relationship Id="rId17" Type="http://schemas.openxmlformats.org/officeDocument/2006/relationships/hyperlink" Target="https://doi.org/10.1016/j.sbspro.2015.11.095"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hdl.handle.net/10568/9433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balforestwatch.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3390/land803004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wandatrade.rw/media/2014-2019%20MINICOM%20Strategic%20plan%20for%20Woo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ybrick.org/clay"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biombioe.2020.105519" TargetMode="External"/></Relationships>
</file>

<file path=word/documenttasks/documenttasks1.xml><?xml version="1.0" encoding="utf-8"?>
<t:Tasks xmlns:t="http://schemas.microsoft.com/office/tasks/2019/documenttasks" xmlns:oel="http://schemas.microsoft.com/office/2019/extlst">
  <t:Task id="{5337059B-B575-4A85-80E8-1F316EA07B1F}">
    <t:Anchor>
      <t:Comment id="392693916"/>
    </t:Anchor>
    <t:History>
      <t:Event id="{EC3BD986-A919-44E9-9125-BF4CF6F12E96}" time="2024-07-30T09:22:34.092Z">
        <t:Attribution userId="S::nathan.gachugi@burnmfg.com::239fc7ab-0501-490b-8159-e77c87b72b3e" userProvider="AD" userName="Nathan Gachugi"/>
        <t:Anchor>
          <t:Comment id="392693916"/>
        </t:Anchor>
        <t:Create/>
      </t:Event>
      <t:Event id="{EDDE7FD2-7B78-4745-90D2-8C65080A8B68}" time="2024-07-30T09:22:34.092Z">
        <t:Attribution userId="S::nathan.gachugi@burnmfg.com::239fc7ab-0501-490b-8159-e77c87b72b3e" userProvider="AD" userName="Nathan Gachugi"/>
        <t:Anchor>
          <t:Comment id="392693916"/>
        </t:Anchor>
        <t:Assign userId="S::molly.brown@burnmfg.com::2d70cd67-18c7-41d1-b065-55c0910f53ff" userProvider="AD" userName="Molly Brown"/>
      </t:Event>
      <t:Event id="{B7FF155C-1A83-4676-BA60-36C17EF0E536}" time="2024-07-30T09:22:34.092Z">
        <t:Attribution userId="S::nathan.gachugi@burnmfg.com::239fc7ab-0501-490b-8159-e77c87b72b3e" userProvider="AD" userName="Nathan Gachugi"/>
        <t:Anchor>
          <t:Comment id="392693916"/>
        </t:Anchor>
        <t:SetTitle title="@Molly Brown rephrase to should be cross-checked rather than shall be infomed by"/>
      </t:Event>
      <t:Event id="{7C6B8F15-53C6-40C6-8FE4-3ADC8CFD6E1A}" time="2024-07-30T09:39:56.14Z">
        <t:Attribution userId="S::molly.brown@burnmfg.com::2d70cd67-18c7-41d1-b065-55c0910f53ff" userProvider="AD" userName="Molly Brown"/>
        <t:Progress percentComplete="100"/>
      </t:Event>
    </t:History>
  </t:Task>
  <t:Task id="{92332F63-C819-400D-BBDD-E983B773376B}">
    <t:Anchor>
      <t:Comment id="1426552541"/>
    </t:Anchor>
    <t:History>
      <t:Event id="{5CE7766B-2DDA-4C61-AC7B-69C119AF3659}" time="2024-07-30T09:23:16.914Z">
        <t:Attribution userId="S::nathan.gachugi@burnmfg.com::239fc7ab-0501-490b-8159-e77c87b72b3e" userProvider="AD" userName="Nathan Gachugi"/>
        <t:Anchor>
          <t:Comment id="1426552541"/>
        </t:Anchor>
        <t:Create/>
      </t:Event>
      <t:Event id="{979EB7AF-231A-47F1-9760-49063762047E}" time="2024-07-30T09:23:16.914Z">
        <t:Attribution userId="S::nathan.gachugi@burnmfg.com::239fc7ab-0501-490b-8159-e77c87b72b3e" userProvider="AD" userName="Nathan Gachugi"/>
        <t:Anchor>
          <t:Comment id="1426552541"/>
        </t:Anchor>
        <t:Assign userId="S::molly.brown@burnmfg.com::2d70cd67-18c7-41d1-b065-55c0910f53ff" userProvider="AD" userName="Molly Brown"/>
      </t:Event>
      <t:Event id="{859B8C2D-5402-4F00-8E3D-2B03E831D77A}" time="2024-07-30T09:23:16.914Z">
        <t:Attribution userId="S::nathan.gachugi@burnmfg.com::239fc7ab-0501-490b-8159-e77c87b72b3e" userProvider="AD" userName="Nathan Gachugi"/>
        <t:Anchor>
          <t:Comment id="1426552541"/>
        </t:Anchor>
        <t:SetTitle title="@Molly Brown a 2009 report might not hold- typically literature has to be 2-3 years old ma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8" ma:contentTypeDescription="Create a new document." ma:contentTypeScope="" ma:versionID="09ad8cdd49b8a327d420ef641554e7a8">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a674474a87588f43f1faf552732a7b81"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SharedWithUsers xmlns="b46e1364-ed93-429f-80a5-89f879b76665">
      <UserInfo>
        <DisplayName>Edwin Cogho</DisplayName>
        <AccountId>111</AccountId>
        <AccountType/>
      </UserInfo>
      <UserInfo>
        <DisplayName>Nick Marshall</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577D5130-55D2-445A-94FD-36E4CB3F3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 ds:uri="b46e1364-ed93-429f-80a5-89f879b76665"/>
  </ds:schemaRefs>
</ds:datastoreItem>
</file>

<file path=customXml/itemProps4.xml><?xml version="1.0" encoding="utf-8"?>
<ds:datastoreItem xmlns:ds="http://schemas.openxmlformats.org/officeDocument/2006/customXml" ds:itemID="{276468CA-226E-4685-BDFB-2AA7F04A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5603</Words>
  <Characters>31943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37472</CharactersWithSpaces>
  <SharedDoc>false</SharedDoc>
  <HLinks>
    <vt:vector size="72" baseType="variant">
      <vt:variant>
        <vt:i4>7733292</vt:i4>
      </vt:variant>
      <vt:variant>
        <vt:i4>27</vt:i4>
      </vt:variant>
      <vt:variant>
        <vt:i4>0</vt:i4>
      </vt:variant>
      <vt:variant>
        <vt:i4>5</vt:i4>
      </vt:variant>
      <vt:variant>
        <vt:lpwstr>https://rwandatrade.rw/media/2014-2019 MINICOM Strategic plan for Wood.pdf</vt:lpwstr>
      </vt:variant>
      <vt:variant>
        <vt:lpwstr/>
      </vt:variant>
      <vt:variant>
        <vt:i4>7340122</vt:i4>
      </vt:variant>
      <vt:variant>
        <vt:i4>24</vt:i4>
      </vt:variant>
      <vt:variant>
        <vt:i4>0</vt:i4>
      </vt:variant>
      <vt:variant>
        <vt:i4>5</vt:i4>
      </vt:variant>
      <vt:variant>
        <vt:lpwstr>https://rwandalii.org/akn/rw/act/law/2013/47bis/eng@2013-09-16/source</vt:lpwstr>
      </vt:variant>
      <vt:variant>
        <vt:lpwstr/>
      </vt:variant>
      <vt:variant>
        <vt:i4>5767241</vt:i4>
      </vt:variant>
      <vt:variant>
        <vt:i4>21</vt:i4>
      </vt:variant>
      <vt:variant>
        <vt:i4>0</vt:i4>
      </vt:variant>
      <vt:variant>
        <vt:i4>5</vt:i4>
      </vt:variant>
      <vt:variant>
        <vt:lpwstr>https://doi.org/10.1016/j.sbspro.2015.11.095</vt:lpwstr>
      </vt:variant>
      <vt:variant>
        <vt:lpwstr/>
      </vt:variant>
      <vt:variant>
        <vt:i4>3080292</vt:i4>
      </vt:variant>
      <vt:variant>
        <vt:i4>18</vt:i4>
      </vt:variant>
      <vt:variant>
        <vt:i4>0</vt:i4>
      </vt:variant>
      <vt:variant>
        <vt:i4>5</vt:i4>
      </vt:variant>
      <vt:variant>
        <vt:lpwstr>https://hdl.handle.net/10568/94338</vt:lpwstr>
      </vt:variant>
      <vt:variant>
        <vt:lpwstr/>
      </vt:variant>
      <vt:variant>
        <vt:i4>2687072</vt:i4>
      </vt:variant>
      <vt:variant>
        <vt:i4>15</vt:i4>
      </vt:variant>
      <vt:variant>
        <vt:i4>0</vt:i4>
      </vt:variant>
      <vt:variant>
        <vt:i4>5</vt:i4>
      </vt:variant>
      <vt:variant>
        <vt:lpwstr>https://doi.org/10.3390/land8030048</vt:lpwstr>
      </vt:variant>
      <vt:variant>
        <vt:lpwstr/>
      </vt:variant>
      <vt:variant>
        <vt:i4>7536680</vt:i4>
      </vt:variant>
      <vt:variant>
        <vt:i4>12</vt:i4>
      </vt:variant>
      <vt:variant>
        <vt:i4>0</vt:i4>
      </vt:variant>
      <vt:variant>
        <vt:i4>5</vt:i4>
      </vt:variant>
      <vt:variant>
        <vt:lpwstr>https://claybrick.org/clay</vt:lpwstr>
      </vt:variant>
      <vt:variant>
        <vt:lpwstr/>
      </vt:variant>
      <vt:variant>
        <vt:i4>4915287</vt:i4>
      </vt:variant>
      <vt:variant>
        <vt:i4>9</vt:i4>
      </vt:variant>
      <vt:variant>
        <vt:i4>0</vt:i4>
      </vt:variant>
      <vt:variant>
        <vt:i4>5</vt:i4>
      </vt:variant>
      <vt:variant>
        <vt:lpwstr>https://doi.org/10.3929/ethz-b-000580955</vt:lpwstr>
      </vt:variant>
      <vt:variant>
        <vt:lpwstr/>
      </vt:variant>
      <vt:variant>
        <vt:i4>3997813</vt:i4>
      </vt:variant>
      <vt:variant>
        <vt:i4>6</vt:i4>
      </vt:variant>
      <vt:variant>
        <vt:i4>0</vt:i4>
      </vt:variant>
      <vt:variant>
        <vt:i4>5</vt:i4>
      </vt:variant>
      <vt:variant>
        <vt:lpwstr>https://doi.org/10.1016/j.scitotenv.2008.09.040</vt:lpwstr>
      </vt:variant>
      <vt:variant>
        <vt:lpwstr/>
      </vt:variant>
      <vt:variant>
        <vt:i4>6029341</vt:i4>
      </vt:variant>
      <vt:variant>
        <vt:i4>3</vt:i4>
      </vt:variant>
      <vt:variant>
        <vt:i4>0</vt:i4>
      </vt:variant>
      <vt:variant>
        <vt:i4>5</vt:i4>
      </vt:variant>
      <vt:variant>
        <vt:lpwstr>https://doi.org/10.3390/rs8080678</vt:lpwstr>
      </vt:variant>
      <vt:variant>
        <vt:lpwstr/>
      </vt:variant>
      <vt:variant>
        <vt:i4>2424877</vt:i4>
      </vt:variant>
      <vt:variant>
        <vt:i4>0</vt:i4>
      </vt:variant>
      <vt:variant>
        <vt:i4>0</vt:i4>
      </vt:variant>
      <vt:variant>
        <vt:i4>5</vt:i4>
      </vt:variant>
      <vt:variant>
        <vt:lpwstr>https://www.globalforestwatch.org/</vt:lpwstr>
      </vt:variant>
      <vt:variant>
        <vt:lpwstr/>
      </vt:variant>
      <vt:variant>
        <vt:i4>2490413</vt:i4>
      </vt:variant>
      <vt:variant>
        <vt:i4>0</vt:i4>
      </vt:variant>
      <vt:variant>
        <vt:i4>0</vt:i4>
      </vt:variant>
      <vt:variant>
        <vt:i4>5</vt:i4>
      </vt:variant>
      <vt:variant>
        <vt:lpwstr>https://doi.org/10.1016/j.biombioe.2020.105519</vt:lpwstr>
      </vt:variant>
      <vt:variant>
        <vt:lpwstr/>
      </vt:variant>
      <vt:variant>
        <vt:i4>2424908</vt:i4>
      </vt:variant>
      <vt:variant>
        <vt:i4>0</vt:i4>
      </vt:variant>
      <vt:variant>
        <vt:i4>0</vt:i4>
      </vt:variant>
      <vt:variant>
        <vt:i4>5</vt:i4>
      </vt:variant>
      <vt:variant>
        <vt:lpwstr>mailto:nathan.gachugi@burnmfg.com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Raphael Eberle</cp:lastModifiedBy>
  <cp:revision>2</cp:revision>
  <cp:lastPrinted>2001-10-26T22:04:00Z</cp:lastPrinted>
  <dcterms:created xsi:type="dcterms:W3CDTF">2024-08-09T17:14:00Z</dcterms:created>
  <dcterms:modified xsi:type="dcterms:W3CDTF">2024-08-09T17:14:00Z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0x01010076539716D86CE0419630026986165D6D</vt:lpwstr>
  </property>
  <property fmtid="{D5CDD505-2E9C-101B-9397-08002B2CF9AE}" pid="4" name="MediaServiceImageTags">
    <vt:lpwstr/>
  </property>
</Properties>
</file>