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E4AFD" w14:textId="77777777" w:rsidR="005B1074" w:rsidRDefault="00777AC5" w:rsidP="005B1074">
      <w:pPr>
        <w:pStyle w:val="StyleRegHead111pt"/>
        <w:numPr>
          <w:ilvl w:val="0"/>
          <w:numId w:val="0"/>
        </w:numPr>
      </w:pPr>
      <w:r>
        <w:t>TABLE</w:t>
      </w:r>
      <w:r w:rsidR="005B1074">
        <w:t xml:space="preserve"> FOR COMMENTS</w:t>
      </w:r>
    </w:p>
    <w:p w14:paraId="509F9590" w14:textId="5B784E84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Name of submitter: </w:t>
      </w:r>
      <w:r w:rsidR="008F0070">
        <w:t xml:space="preserve"> </w:t>
      </w:r>
      <w:r w:rsidR="008F0070">
        <w:rPr>
          <w:u w:val="single"/>
        </w:rPr>
        <w:t>Jessica Wade-Murphy de Jimenez</w:t>
      </w:r>
    </w:p>
    <w:p w14:paraId="1539A45C" w14:textId="4FBD669E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>Affiliated organization of the submitter</w:t>
      </w:r>
      <w:r w:rsidR="006D0849">
        <w:t xml:space="preserve"> (if any)</w:t>
      </w:r>
      <w:r>
        <w:t xml:space="preserve">: </w:t>
      </w:r>
      <w:r w:rsidR="008F0070">
        <w:rPr>
          <w:u w:val="single"/>
        </w:rPr>
        <w:t>Atmosphere Alternative</w:t>
      </w:r>
    </w:p>
    <w:p w14:paraId="5F63183D" w14:textId="211A2B2F" w:rsidR="00E60C4A" w:rsidRPr="007F243D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Contact email of submitter: </w:t>
      </w:r>
      <w:r w:rsidR="00E22E3A" w:rsidRPr="00E22E3A">
        <w:rPr>
          <w:u w:val="single"/>
        </w:rPr>
        <w:t>jwm@atm-alt.com.co</w:t>
      </w:r>
    </w:p>
    <w:p w14:paraId="77A5CC8D" w14:textId="77777777" w:rsidR="005B1074" w:rsidRPr="00035035" w:rsidRDefault="005B1074" w:rsidP="005B1074"/>
    <w:p w14:paraId="2EA528BF" w14:textId="77777777" w:rsidR="00DF4F6B" w:rsidRDefault="00DF4F6B">
      <w:pPr>
        <w:spacing w:line="240" w:lineRule="exact"/>
      </w:pPr>
    </w:p>
    <w:tbl>
      <w:tblPr>
        <w:tblW w:w="15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330"/>
        <w:gridCol w:w="1022"/>
        <w:gridCol w:w="992"/>
        <w:gridCol w:w="4762"/>
        <w:gridCol w:w="4253"/>
        <w:gridCol w:w="2552"/>
      </w:tblGrid>
      <w:tr w:rsidR="00863150" w14:paraId="44974AB3" w14:textId="77777777" w:rsidTr="008F0070">
        <w:trPr>
          <w:cantSplit/>
          <w:tblHeader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F40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F682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88A7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E0C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941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B02A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212BB9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63150" w14:paraId="48486F42" w14:textId="77777777" w:rsidTr="008F0070">
        <w:trPr>
          <w:cantSplit/>
          <w:tblHeader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197D7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  <w:p w14:paraId="1BEFCA54" w14:textId="77777777" w:rsidR="00863150" w:rsidRDefault="00863150" w:rsidP="005242C9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31A8B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smartTag w:uri="urn:schemas-microsoft-com:office:smarttags" w:element="place">
              <w:r>
                <w:rPr>
                  <w:b/>
                  <w:bCs/>
                  <w:sz w:val="16"/>
                  <w:szCs w:val="16"/>
                </w:rPr>
                <w:t>Para</w:t>
              </w:r>
            </w:smartTag>
            <w:r>
              <w:rPr>
                <w:b/>
                <w:bCs/>
                <w:sz w:val="16"/>
                <w:szCs w:val="16"/>
              </w:rPr>
              <w:t xml:space="preserve"> No./</w:t>
            </w:r>
            <w:r>
              <w:rPr>
                <w:b/>
                <w:bCs/>
                <w:sz w:val="16"/>
                <w:szCs w:val="16"/>
              </w:rPr>
              <w:br/>
              <w:t>Annex / Figure / Table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2186A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Line Number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36EA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Type of comment</w:t>
            </w:r>
          </w:p>
          <w:p w14:paraId="7BC03EA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rStyle w:val="Nmerodepgina"/>
                <w:sz w:val="16"/>
                <w:szCs w:val="16"/>
              </w:rPr>
            </w:pPr>
            <w:proofErr w:type="spellStart"/>
            <w:r>
              <w:rPr>
                <w:rStyle w:val="Nmerodepgina"/>
                <w:b/>
                <w:bCs/>
                <w:sz w:val="16"/>
                <w:szCs w:val="16"/>
              </w:rPr>
              <w:t>ge</w:t>
            </w:r>
            <w:proofErr w:type="spellEnd"/>
            <w:r>
              <w:rPr>
                <w:rStyle w:val="Nmerodepgina"/>
                <w:sz w:val="16"/>
                <w:szCs w:val="16"/>
              </w:rPr>
              <w:t xml:space="preserve"> = general</w:t>
            </w:r>
          </w:p>
          <w:p w14:paraId="192FE6D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Style w:val="Nmerodepgina"/>
                <w:b/>
                <w:bCs/>
                <w:sz w:val="16"/>
                <w:szCs w:val="16"/>
              </w:rPr>
              <w:t>te</w:t>
            </w:r>
            <w:proofErr w:type="spellEnd"/>
            <w:r>
              <w:rPr>
                <w:rStyle w:val="Nmerodepgina"/>
                <w:sz w:val="16"/>
                <w:szCs w:val="16"/>
              </w:rPr>
              <w:t xml:space="preserve"> = technical </w:t>
            </w:r>
            <w:r>
              <w:rPr>
                <w:rStyle w:val="Nmerodepgina"/>
                <w:sz w:val="16"/>
                <w:szCs w:val="16"/>
              </w:rPr>
              <w:tab/>
            </w:r>
            <w:r>
              <w:rPr>
                <w:rStyle w:val="Nmerodepgina"/>
                <w:b/>
                <w:bCs/>
                <w:sz w:val="16"/>
                <w:szCs w:val="16"/>
              </w:rPr>
              <w:t>ed</w:t>
            </w:r>
            <w:r>
              <w:rPr>
                <w:rStyle w:val="Nmerodepgina"/>
                <w:sz w:val="16"/>
                <w:szCs w:val="16"/>
              </w:rPr>
              <w:t xml:space="preserve"> = editorial 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B7375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Comment </w:t>
            </w:r>
          </w:p>
          <w:p w14:paraId="58D30D2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justification for change)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AB5C8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Proposed change </w:t>
            </w:r>
          </w:p>
          <w:p w14:paraId="500910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proposed text)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6C1D22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Assessment of comment</w:t>
            </w:r>
          </w:p>
          <w:p w14:paraId="54A7E6A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A256D">
              <w:rPr>
                <w:b/>
                <w:bCs/>
                <w:i/>
                <w:sz w:val="16"/>
                <w:szCs w:val="16"/>
              </w:rPr>
              <w:t xml:space="preserve">to be completed by </w:t>
            </w:r>
            <w:r>
              <w:rPr>
                <w:b/>
                <w:bCs/>
                <w:i/>
                <w:sz w:val="16"/>
                <w:szCs w:val="16"/>
              </w:rPr>
              <w:t>UNFCCC secretariat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63150" w14:paraId="1DABCE09" w14:textId="77777777" w:rsidTr="008F007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019C" w14:textId="385B23AA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6DD9" w14:textId="4792B3B9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 No. 7b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162B" w14:textId="7273C371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3-4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E85" w14:textId="381D53D8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586B" w14:textId="61996A1D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B5483B">
              <w:rPr>
                <w:b/>
                <w:bCs/>
                <w:sz w:val="16"/>
                <w:szCs w:val="16"/>
              </w:rPr>
              <w:t>"</w:t>
            </w:r>
            <w:r w:rsidRPr="00B5483B">
              <w:rPr>
                <w:b/>
                <w:bCs/>
                <w:i/>
                <w:iCs/>
                <w:sz w:val="16"/>
                <w:szCs w:val="16"/>
              </w:rPr>
              <w:t>However, we discovered that this led to growth rates that observed standing stocks of biomass in two of the 680 land-cover categories</w:t>
            </w:r>
            <w:r w:rsidRPr="00B5483B">
              <w:rPr>
                <w:b/>
                <w:bCs/>
                <w:sz w:val="16"/>
                <w:szCs w:val="16"/>
              </w:rPr>
              <w:t>." This sentence does not make sense, and it is very important to understanding the change. Please clarify.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F47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981D6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7BCB2812" w14:textId="77777777" w:rsidTr="008F007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E0CC" w14:textId="708F0975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CE6B" w14:textId="4B5EEDD9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 No. 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6AF" w14:textId="406DFEF3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5-6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BC10" w14:textId="16C6AB88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660A" w14:textId="7F40920A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B5483B">
              <w:rPr>
                <w:b/>
                <w:bCs/>
                <w:sz w:val="16"/>
                <w:szCs w:val="16"/>
              </w:rPr>
              <w:t>"</w:t>
            </w:r>
            <w:r w:rsidRPr="00B5483B">
              <w:rPr>
                <w:b/>
                <w:bCs/>
                <w:i/>
                <w:iCs/>
                <w:sz w:val="16"/>
                <w:szCs w:val="16"/>
              </w:rPr>
              <w:t xml:space="preserve">Employing decadal intervals to report data is a conservative approach (towards higher values of </w:t>
            </w:r>
            <w:proofErr w:type="spellStart"/>
            <w:proofErr w:type="gramStart"/>
            <w:r w:rsidRPr="00B5483B">
              <w:rPr>
                <w:b/>
                <w:bCs/>
                <w:i/>
                <w:iCs/>
                <w:sz w:val="16"/>
                <w:szCs w:val="16"/>
              </w:rPr>
              <w:t>fNRB</w:t>
            </w:r>
            <w:proofErr w:type="spellEnd"/>
            <w:r w:rsidRPr="00B5483B">
              <w:rPr>
                <w:b/>
                <w:bCs/>
                <w:i/>
                <w:iCs/>
                <w:sz w:val="16"/>
                <w:szCs w:val="16"/>
              </w:rPr>
              <w:t>)...</w:t>
            </w:r>
            <w:proofErr w:type="gramEnd"/>
            <w:r w:rsidRPr="00B5483B">
              <w:rPr>
                <w:b/>
                <w:bCs/>
                <w:i/>
                <w:iCs/>
                <w:sz w:val="16"/>
                <w:szCs w:val="16"/>
              </w:rPr>
              <w:t>"</w:t>
            </w:r>
            <w:r w:rsidRPr="00B5483B">
              <w:rPr>
                <w:b/>
                <w:bCs/>
                <w:sz w:val="16"/>
                <w:szCs w:val="16"/>
              </w:rPr>
              <w:t xml:space="preserve"> - a conservative approach in the CDM context would be tending toward LOWER values of </w:t>
            </w:r>
            <w:proofErr w:type="spellStart"/>
            <w:r w:rsidRPr="00B5483B">
              <w:rPr>
                <w:b/>
                <w:bCs/>
                <w:sz w:val="16"/>
                <w:szCs w:val="16"/>
              </w:rPr>
              <w:t>fNRB</w:t>
            </w:r>
            <w:proofErr w:type="spellEnd"/>
            <w:r w:rsidRPr="00B5483B">
              <w:rPr>
                <w:b/>
                <w:bCs/>
                <w:sz w:val="16"/>
                <w:szCs w:val="16"/>
              </w:rPr>
              <w:t xml:space="preserve">. Clarify - does employing decadal intervals, as has been done, tend toward higher or lower </w:t>
            </w:r>
            <w:proofErr w:type="spellStart"/>
            <w:r w:rsidRPr="00B5483B">
              <w:rPr>
                <w:b/>
                <w:bCs/>
                <w:sz w:val="16"/>
                <w:szCs w:val="16"/>
              </w:rPr>
              <w:t>fNRB</w:t>
            </w:r>
            <w:proofErr w:type="spellEnd"/>
            <w:r w:rsidRPr="00B5483B">
              <w:rPr>
                <w:b/>
                <w:bCs/>
                <w:sz w:val="16"/>
                <w:szCs w:val="16"/>
              </w:rPr>
              <w:t xml:space="preserve"> values? I.e. is the method applied unconservative, or conservative?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58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56D8E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1DD2AA5D" w14:textId="77777777" w:rsidTr="008F007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2FCE" w14:textId="6B2F8DF4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BB31" w14:textId="5D105E5E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 No. 10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19F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30C3" w14:textId="0356AF67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172" w14:textId="111B85B8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B5483B">
              <w:rPr>
                <w:b/>
                <w:bCs/>
                <w:sz w:val="16"/>
                <w:szCs w:val="16"/>
              </w:rPr>
              <w:t>What information or data sets could help to improve the certainty of the revegetation rates (growth rates)? What data input or cross-check could lower the uncertainty on this input for the case of a model run for a specific, individual project area?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FCA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97AA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4452319A" w14:textId="77777777" w:rsidTr="008F007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81E2" w14:textId="5E8F0342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9B9C" w14:textId="43BBCCC8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87B7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3B5E" w14:textId="6BEDFB7A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4E5B" w14:textId="7EF69975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B5483B">
              <w:rPr>
                <w:b/>
                <w:bCs/>
                <w:sz w:val="16"/>
                <w:szCs w:val="16"/>
              </w:rPr>
              <w:t>Could you please put both graphs on the same Y axis to improve capacity for visual comparison?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BE4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9716C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20DC6649" w14:textId="77777777" w:rsidTr="008F007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C234" w14:textId="2F7CEB4C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5E4" w14:textId="5A73CC3F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8CD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ED9A" w14:textId="7BCCB0D0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F554" w14:textId="0D066730" w:rsidR="00863150" w:rsidRDefault="00B5483B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B5483B">
              <w:rPr>
                <w:b/>
                <w:bCs/>
                <w:sz w:val="16"/>
                <w:szCs w:val="16"/>
              </w:rPr>
              <w:t xml:space="preserve">Could you please change the </w:t>
            </w:r>
            <w:proofErr w:type="spellStart"/>
            <w:r w:rsidRPr="00B5483B">
              <w:rPr>
                <w:b/>
                <w:bCs/>
                <w:sz w:val="16"/>
                <w:szCs w:val="16"/>
              </w:rPr>
              <w:t>color</w:t>
            </w:r>
            <w:proofErr w:type="spellEnd"/>
            <w:r w:rsidRPr="00B5483B">
              <w:rPr>
                <w:b/>
                <w:bCs/>
                <w:sz w:val="16"/>
                <w:szCs w:val="16"/>
              </w:rPr>
              <w:t xml:space="preserve"> for "biomass" since it is very difficult to distinguish and is one of the main data sets of interest in these graphs?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CD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D8E52A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0554E67B" w14:textId="77777777" w:rsidTr="008F007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B2D2" w14:textId="665B80CC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F3E4" w14:textId="19A32EFF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 No. 42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1DE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5FCF" w14:textId="79BFCEEB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79F2" w14:textId="5FB124ED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C121F5">
              <w:rPr>
                <w:b/>
                <w:bCs/>
                <w:sz w:val="16"/>
                <w:szCs w:val="16"/>
              </w:rPr>
              <w:t>Guidance or requirements should be provided for how to include (exclude) plantations from individual project-specific modelling exercises, i.e. plantations should likely be identified, quantified, and considered "difficult to access" in a project specific model (not ignored).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E20C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D4EDBD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0E02DDEE" w14:textId="77777777" w:rsidTr="008F007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BDA6" w14:textId="5F69092B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4F4B" w14:textId="64BB5DE8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Para No </w:t>
            </w:r>
            <w:proofErr w:type="gramStart"/>
            <w:r>
              <w:rPr>
                <w:b/>
                <w:bCs/>
                <w:sz w:val="16"/>
                <w:szCs w:val="16"/>
              </w:rPr>
              <w:t>46./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footnote 11.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966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18E6" w14:textId="5F84C928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0D97" w14:textId="747E5CBA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C121F5">
              <w:rPr>
                <w:b/>
                <w:bCs/>
                <w:sz w:val="16"/>
                <w:szCs w:val="16"/>
              </w:rPr>
              <w:t xml:space="preserve">There is tremendous variability in the NCV of both wood and charcoal. IPCC also attests to this. What are your thoughts on how this impacts the results of </w:t>
            </w:r>
            <w:proofErr w:type="spellStart"/>
            <w:r w:rsidRPr="00C121F5">
              <w:rPr>
                <w:b/>
                <w:bCs/>
                <w:sz w:val="16"/>
                <w:szCs w:val="16"/>
              </w:rPr>
              <w:t>MoFuSS</w:t>
            </w:r>
            <w:proofErr w:type="spellEnd"/>
            <w:r w:rsidRPr="00C121F5">
              <w:rPr>
                <w:b/>
                <w:bCs/>
                <w:sz w:val="16"/>
                <w:szCs w:val="16"/>
              </w:rPr>
              <w:t xml:space="preserve"> and in general the accounting of emission reductions from household cooking?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21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73A80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5C9827B7" w14:textId="77777777" w:rsidTr="008F007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B9D2" w14:textId="5B91A883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7645" w14:textId="6CD3014B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 No. 49 &amp; 64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0BC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F162" w14:textId="2F6EAD4B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299F" w14:textId="30CF5C38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C121F5">
              <w:rPr>
                <w:b/>
                <w:bCs/>
                <w:sz w:val="16"/>
                <w:szCs w:val="16"/>
              </w:rPr>
              <w:t xml:space="preserve">How is altitude of terrain </w:t>
            </w:r>
            <w:proofErr w:type="gramStart"/>
            <w:r w:rsidRPr="00C121F5">
              <w:rPr>
                <w:b/>
                <w:bCs/>
                <w:sz w:val="16"/>
                <w:szCs w:val="16"/>
              </w:rPr>
              <w:t>taken into account</w:t>
            </w:r>
            <w:proofErr w:type="gramEnd"/>
            <w:r w:rsidRPr="00C121F5">
              <w:rPr>
                <w:b/>
                <w:bCs/>
                <w:sz w:val="16"/>
                <w:szCs w:val="16"/>
              </w:rPr>
              <w:t xml:space="preserve"> in harvesting likelihood?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9D9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6B7C9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68B3B5E7" w14:textId="77777777" w:rsidTr="008F007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766A" w14:textId="4EB7FFFE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9FAB" w14:textId="6E0DA332" w:rsidR="00863150" w:rsidRDefault="00C121F5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 No. 70 &amp; 71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30D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CFFE" w14:textId="5B7DB1BB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05BC" w14:textId="158452D0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8F0070">
              <w:rPr>
                <w:b/>
                <w:bCs/>
                <w:sz w:val="16"/>
                <w:szCs w:val="16"/>
              </w:rPr>
              <w:t>The model assumes wood for charcoal comes from areas with high-</w:t>
            </w:r>
            <w:proofErr w:type="spellStart"/>
            <w:r w:rsidRPr="008F0070">
              <w:rPr>
                <w:b/>
                <w:bCs/>
                <w:sz w:val="16"/>
                <w:szCs w:val="16"/>
              </w:rPr>
              <w:t>fNRB</w:t>
            </w:r>
            <w:proofErr w:type="spellEnd"/>
            <w:r w:rsidRPr="008F0070">
              <w:rPr>
                <w:b/>
                <w:bCs/>
                <w:sz w:val="16"/>
                <w:szCs w:val="16"/>
              </w:rPr>
              <w:t>. However, it seems likely that wood for charcoal would come from locations the optimally combine accessibility with wood availability (e.g. ample supply), and it is not self-evident that those would be the same locations as "high-</w:t>
            </w:r>
            <w:proofErr w:type="spellStart"/>
            <w:r w:rsidRPr="008F0070">
              <w:rPr>
                <w:b/>
                <w:bCs/>
                <w:sz w:val="16"/>
                <w:szCs w:val="16"/>
              </w:rPr>
              <w:t>fNRB</w:t>
            </w:r>
            <w:proofErr w:type="spellEnd"/>
            <w:r w:rsidRPr="008F0070">
              <w:rPr>
                <w:b/>
                <w:bCs/>
                <w:sz w:val="16"/>
                <w:szCs w:val="16"/>
              </w:rPr>
              <w:t xml:space="preserve"> administrative units in rural areas". Recommend re-evaluating this assumption and determine whether another set of criteria could be more accurate for the assumption on the source of charcoal used in urban areas and the urban </w:t>
            </w:r>
            <w:proofErr w:type="spellStart"/>
            <w:r w:rsidRPr="008F0070">
              <w:rPr>
                <w:b/>
                <w:bCs/>
                <w:sz w:val="16"/>
                <w:szCs w:val="16"/>
              </w:rPr>
              <w:t>fNRB</w:t>
            </w:r>
            <w:proofErr w:type="spellEnd"/>
            <w:r w:rsidRPr="008F0070">
              <w:rPr>
                <w:b/>
                <w:bCs/>
                <w:sz w:val="16"/>
                <w:szCs w:val="16"/>
              </w:rPr>
              <w:t xml:space="preserve">, for example distance to urban demand </w:t>
            </w:r>
            <w:proofErr w:type="spellStart"/>
            <w:r w:rsidRPr="008F0070">
              <w:rPr>
                <w:b/>
                <w:bCs/>
                <w:sz w:val="16"/>
                <w:szCs w:val="16"/>
              </w:rPr>
              <w:t>center</w:t>
            </w:r>
            <w:proofErr w:type="spellEnd"/>
            <w:r w:rsidRPr="008F0070">
              <w:rPr>
                <w:b/>
                <w:bCs/>
                <w:sz w:val="16"/>
                <w:szCs w:val="16"/>
              </w:rPr>
              <w:t xml:space="preserve"> for charcoal and availability of biomass.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DB8E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85C3C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27BA32EE" w14:textId="77777777" w:rsidTr="008F007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433F" w14:textId="72681ECF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AA0A" w14:textId="344B417F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 No. 92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3FE3" w14:textId="4C07D4BB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5-6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C3D9" w14:textId="2E0C4885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9D" w14:textId="757F537F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8F0070">
              <w:rPr>
                <w:b/>
                <w:bCs/>
                <w:sz w:val="16"/>
                <w:szCs w:val="16"/>
              </w:rPr>
              <w:t>Sentence "</w:t>
            </w:r>
            <w:r w:rsidRPr="00E22E3A">
              <w:rPr>
                <w:b/>
                <w:bCs/>
                <w:i/>
                <w:iCs/>
                <w:sz w:val="16"/>
                <w:szCs w:val="16"/>
              </w:rPr>
              <w:t xml:space="preserve">which resulted in 577 classes of K and </w:t>
            </w:r>
            <w:proofErr w:type="spellStart"/>
            <w:r w:rsidRPr="00E22E3A">
              <w:rPr>
                <w:b/>
                <w:bCs/>
                <w:i/>
                <w:iCs/>
                <w:sz w:val="16"/>
                <w:szCs w:val="16"/>
              </w:rPr>
              <w:t>rmax</w:t>
            </w:r>
            <w:proofErr w:type="spellEnd"/>
            <w:r w:rsidRPr="00E22E3A">
              <w:rPr>
                <w:b/>
                <w:bCs/>
                <w:i/>
                <w:iCs/>
                <w:sz w:val="16"/>
                <w:szCs w:val="16"/>
              </w:rPr>
              <w:t xml:space="preserve"> but some natural variability in unavoidable</w:t>
            </w:r>
            <w:r w:rsidRPr="008F0070">
              <w:rPr>
                <w:b/>
                <w:bCs/>
                <w:sz w:val="16"/>
                <w:szCs w:val="16"/>
              </w:rPr>
              <w:t>."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F966" w14:textId="25E61D48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8F0070">
              <w:rPr>
                <w:b/>
                <w:bCs/>
                <w:sz w:val="16"/>
                <w:szCs w:val="16"/>
              </w:rPr>
              <w:t>Should it read "IS unavoidable"?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2CB9906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7E97068E" w14:textId="77777777" w:rsidTr="008F007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8D55" w14:textId="12EC4C23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CA8D" w14:textId="1EE041D3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Section 3.4 Paras 98-93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407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1E3" w14:textId="5DA95CAA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6C34" w14:textId="046FC3D2" w:rsidR="00863150" w:rsidRDefault="008F007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 w:rsidRPr="008F0070">
              <w:rPr>
                <w:b/>
                <w:bCs/>
                <w:sz w:val="16"/>
                <w:szCs w:val="16"/>
              </w:rPr>
              <w:t xml:space="preserve">It would be interesting to see the variability of outcomes if fuelwood harvest is varied. I.e. given that for example 0.4 t/p*year seems a little low for SSA, it would be interesting to see how much </w:t>
            </w:r>
            <w:proofErr w:type="spellStart"/>
            <w:r w:rsidRPr="008F0070">
              <w:rPr>
                <w:b/>
                <w:bCs/>
                <w:sz w:val="16"/>
                <w:szCs w:val="16"/>
              </w:rPr>
              <w:t>fNRB</w:t>
            </w:r>
            <w:proofErr w:type="spellEnd"/>
            <w:r w:rsidRPr="008F0070">
              <w:rPr>
                <w:b/>
                <w:bCs/>
                <w:sz w:val="16"/>
                <w:szCs w:val="16"/>
              </w:rPr>
              <w:t xml:space="preserve"> varies if values closer to observed averages are applied in the model.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DF7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31959CF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BCDB222" w14:textId="77777777" w:rsidR="00DF4F6B" w:rsidRDefault="00DF4F6B">
      <w:pPr>
        <w:spacing w:line="240" w:lineRule="exact"/>
      </w:pPr>
    </w:p>
    <w:sectPr w:rsidR="00DF4F6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DB953" w14:textId="77777777" w:rsidR="00C408D1" w:rsidRDefault="00C408D1" w:rsidP="00DF4F6B">
      <w:r>
        <w:separator/>
      </w:r>
    </w:p>
  </w:endnote>
  <w:endnote w:type="continuationSeparator" w:id="0">
    <w:p w14:paraId="1E07AC16" w14:textId="77777777" w:rsidR="00C408D1" w:rsidRDefault="00C408D1" w:rsidP="00DF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BD56D" w14:textId="77777777" w:rsidR="00F37030" w:rsidRDefault="00F37030" w:rsidP="009E2F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37A50B" w14:textId="77777777" w:rsidR="00F37030" w:rsidRDefault="00F37030" w:rsidP="00DF4E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247C" w14:textId="77777777" w:rsidR="00F37030" w:rsidRDefault="00F37030" w:rsidP="009E2F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F18954" w14:textId="77777777" w:rsidR="00F37030" w:rsidRDefault="00F37030" w:rsidP="00DF4E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78663" w14:textId="77777777" w:rsidR="00C408D1" w:rsidRDefault="00C408D1" w:rsidP="00DF4F6B">
      <w:r>
        <w:separator/>
      </w:r>
    </w:p>
  </w:footnote>
  <w:footnote w:type="continuationSeparator" w:id="0">
    <w:p w14:paraId="1852FE2B" w14:textId="77777777" w:rsidR="00C408D1" w:rsidRDefault="00C408D1" w:rsidP="00DF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37030" w14:paraId="0F8ECA1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643D2012" w14:textId="77777777" w:rsidR="00F37030" w:rsidRDefault="00F37030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044243" w14:textId="418E1B71" w:rsidR="00F37030" w:rsidRPr="00777AC5" w:rsidRDefault="00F37030">
          <w:pPr>
            <w:pStyle w:val="ISOChange"/>
            <w:spacing w:before="60" w:after="60"/>
            <w:rPr>
              <w:b/>
              <w:sz w:val="22"/>
            </w:rPr>
          </w:pPr>
          <w:r w:rsidRPr="00777AC5">
            <w:rPr>
              <w:b/>
              <w:sz w:val="22"/>
            </w:rPr>
            <w:t xml:space="preserve">Date: </w:t>
          </w:r>
          <w:r w:rsidR="00E22E3A">
            <w:rPr>
              <w:b/>
              <w:sz w:val="22"/>
            </w:rPr>
            <w:t>07/29/2024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6EB125" w14:textId="431DB302" w:rsidR="00F37030" w:rsidRDefault="00F37030">
          <w:pPr>
            <w:pStyle w:val="ISOSecretObservations"/>
            <w:spacing w:before="60" w:after="60"/>
            <w:rPr>
              <w:b/>
              <w:bCs/>
              <w:sz w:val="22"/>
              <w:szCs w:val="20"/>
            </w:rPr>
          </w:pPr>
          <w:r>
            <w:rPr>
              <w:b/>
              <w:bCs/>
              <w:sz w:val="22"/>
            </w:rPr>
            <w:t>Document:</w:t>
          </w:r>
          <w:r>
            <w:rPr>
              <w:b/>
              <w:bCs/>
              <w:sz w:val="22"/>
              <w:szCs w:val="20"/>
            </w:rPr>
            <w:t xml:space="preserve">  </w:t>
          </w:r>
          <w:r w:rsidR="00E22E3A" w:rsidRPr="00E22E3A">
            <w:rPr>
              <w:b/>
              <w:bCs/>
              <w:sz w:val="22"/>
              <w:szCs w:val="20"/>
            </w:rPr>
            <w:t xml:space="preserve">Updated </w:t>
          </w:r>
          <w:proofErr w:type="spellStart"/>
          <w:r w:rsidR="00E22E3A" w:rsidRPr="00E22E3A">
            <w:rPr>
              <w:b/>
              <w:bCs/>
              <w:sz w:val="22"/>
              <w:szCs w:val="20"/>
            </w:rPr>
            <w:t>fNRB</w:t>
          </w:r>
          <w:proofErr w:type="spellEnd"/>
          <w:r w:rsidR="00E22E3A" w:rsidRPr="00E22E3A">
            <w:rPr>
              <w:b/>
              <w:bCs/>
              <w:sz w:val="22"/>
              <w:szCs w:val="20"/>
            </w:rPr>
            <w:t xml:space="preserve"> Values for </w:t>
          </w:r>
          <w:proofErr w:type="spellStart"/>
          <w:r w:rsidR="00E22E3A" w:rsidRPr="00E22E3A">
            <w:rPr>
              <w:b/>
              <w:bCs/>
              <w:sz w:val="22"/>
              <w:szCs w:val="20"/>
            </w:rPr>
            <w:t>Woodfuel</w:t>
          </w:r>
          <w:proofErr w:type="spellEnd"/>
          <w:r w:rsidR="00E22E3A" w:rsidRPr="00E22E3A">
            <w:rPr>
              <w:b/>
              <w:bCs/>
              <w:sz w:val="22"/>
              <w:szCs w:val="20"/>
            </w:rPr>
            <w:t xml:space="preserve"> Interventions</w:t>
          </w:r>
        </w:p>
      </w:tc>
    </w:tr>
  </w:tbl>
  <w:p w14:paraId="73EC5CC6" w14:textId="77777777" w:rsidR="00F37030" w:rsidRDefault="00F37030">
    <w:pPr>
      <w:pStyle w:val="Encabezado"/>
    </w:pPr>
  </w:p>
  <w:p w14:paraId="4DB01882" w14:textId="77777777" w:rsidR="00F37030" w:rsidRDefault="00F37030">
    <w:pPr>
      <w:pStyle w:val="Encabezado"/>
      <w:rPr>
        <w:sz w:val="2"/>
        <w:szCs w:val="2"/>
      </w:rPr>
    </w:pPr>
  </w:p>
  <w:p w14:paraId="77A90160" w14:textId="77777777" w:rsidR="00F37030" w:rsidRDefault="00F37030">
    <w:pPr>
      <w:pStyle w:val="Encabezado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30122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44598"/>
    <w:rsid w:val="001D0F91"/>
    <w:rsid w:val="001E3876"/>
    <w:rsid w:val="002F135C"/>
    <w:rsid w:val="00366FD7"/>
    <w:rsid w:val="00405FB3"/>
    <w:rsid w:val="004248BD"/>
    <w:rsid w:val="00450EEA"/>
    <w:rsid w:val="00472C3C"/>
    <w:rsid w:val="005242C9"/>
    <w:rsid w:val="005A256D"/>
    <w:rsid w:val="005B1074"/>
    <w:rsid w:val="006B7520"/>
    <w:rsid w:val="006D0849"/>
    <w:rsid w:val="006F32C1"/>
    <w:rsid w:val="00777AC5"/>
    <w:rsid w:val="007D6248"/>
    <w:rsid w:val="00806386"/>
    <w:rsid w:val="00841D26"/>
    <w:rsid w:val="00863150"/>
    <w:rsid w:val="008F0070"/>
    <w:rsid w:val="009177A1"/>
    <w:rsid w:val="00981D31"/>
    <w:rsid w:val="009D0F11"/>
    <w:rsid w:val="009E2FBD"/>
    <w:rsid w:val="009F61CD"/>
    <w:rsid w:val="00A13B92"/>
    <w:rsid w:val="00B3792D"/>
    <w:rsid w:val="00B5483B"/>
    <w:rsid w:val="00C121F5"/>
    <w:rsid w:val="00C33E85"/>
    <w:rsid w:val="00C408D1"/>
    <w:rsid w:val="00C630BD"/>
    <w:rsid w:val="00CC0EB7"/>
    <w:rsid w:val="00D131BD"/>
    <w:rsid w:val="00D36C4F"/>
    <w:rsid w:val="00D6268F"/>
    <w:rsid w:val="00D9721E"/>
    <w:rsid w:val="00DA0ED5"/>
    <w:rsid w:val="00DF4E03"/>
    <w:rsid w:val="00DF4F6B"/>
    <w:rsid w:val="00E22E3A"/>
    <w:rsid w:val="00E60C4A"/>
    <w:rsid w:val="00EE5FD1"/>
    <w:rsid w:val="00F27817"/>
    <w:rsid w:val="00F37030"/>
    <w:rsid w:val="00F6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,"/>
  <w:listSeparator w:val=";"/>
  <w14:docId w14:val="1514B8A1"/>
  <w15:chartTrackingRefBased/>
  <w15:docId w15:val="{EED8BE88-5E43-4909-9CE6-65EDB482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Ttulo2">
    <w:name w:val="heading 2"/>
    <w:basedOn w:val="Ttulo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Ttulo3">
    <w:name w:val="heading 3"/>
    <w:basedOn w:val="Ttulo2"/>
    <w:next w:val="Normal"/>
    <w:qFormat/>
    <w:pPr>
      <w:outlineLvl w:val="2"/>
    </w:pPr>
    <w:rPr>
      <w:b w:val="0"/>
      <w:bCs w:val="0"/>
    </w:rPr>
  </w:style>
  <w:style w:type="paragraph" w:styleId="Ttulo4">
    <w:name w:val="heading 4"/>
    <w:basedOn w:val="Ttulo3"/>
    <w:next w:val="Normal"/>
    <w:qFormat/>
    <w:pPr>
      <w:outlineLvl w:val="3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Piedepgina"/>
  </w:style>
  <w:style w:type="paragraph" w:styleId="Piedepgina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Nmerodepgina">
    <w:name w:val="page number"/>
    <w:basedOn w:val="Fuentedeprrafopredet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Fuentedeprrafopredeter"/>
    <w:rPr>
      <w:color w:val="FF0000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customStyle="1" w:styleId="mtequationsection0">
    <w:name w:val="mtequationsection"/>
    <w:basedOn w:val="Fuentedeprrafopredeter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AC1080CB3F0A334A8C0952354BCA8564007BC3E68EB416CC4AAA2F6028BACC239E" ma:contentTypeVersion="1" ma:contentTypeDescription="Creates a new UNFCCC Document" ma:contentTypeScope="" ma:versionID="7f3a503a110ea00c97dd81f74b72a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BB2CA-589C-4437-A969-1BF9BFF8EF63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1D436A-653D-41CD-8080-BB936120E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99CDAC-AD2E-41D4-9D74-51CAC11DF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UNFCCC</dc:creator>
  <cp:keywords/>
  <dc:description>FORM (ISO)</dc:description>
  <cp:lastModifiedBy>Andrés Felipe Murray</cp:lastModifiedBy>
  <cp:revision>2</cp:revision>
  <cp:lastPrinted>2001-10-25T12:04:00Z</cp:lastPrinted>
  <dcterms:created xsi:type="dcterms:W3CDTF">2024-07-29T14:58:00Z</dcterms:created>
  <dcterms:modified xsi:type="dcterms:W3CDTF">2024-07-29T14:58:00Z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0x010100AC1080CB3F0A334A8C0952354BCA8564007BC3E68EB416CC4AAA2F6028BACC239E</vt:lpwstr>
  </property>
</Properties>
</file>