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4E4AFD" w14:textId="77777777" w:rsidR="005B1074" w:rsidRDefault="00777AC5" w:rsidP="005B1074">
      <w:pPr>
        <w:pStyle w:val="StyleRegHead111pt"/>
        <w:numPr>
          <w:ilvl w:val="0"/>
          <w:numId w:val="0"/>
        </w:numPr>
      </w:pPr>
      <w:r>
        <w:t>TABLE</w:t>
      </w:r>
      <w:r w:rsidR="005B1074">
        <w:t xml:space="preserve"> FOR COMMENTS</w:t>
      </w:r>
    </w:p>
    <w:p w14:paraId="509F9590" w14:textId="3DAAF725" w:rsidR="00E60C4A" w:rsidRDefault="00E60C4A" w:rsidP="00E60C4A">
      <w:pPr>
        <w:pStyle w:val="StyleRegHead111pt"/>
        <w:numPr>
          <w:ilvl w:val="0"/>
          <w:numId w:val="0"/>
        </w:numPr>
        <w:jc w:val="left"/>
      </w:pPr>
      <w:r>
        <w:t>Name of submitter</w:t>
      </w:r>
      <w:r w:rsidR="00D70ACB">
        <w:t xml:space="preserve">: </w:t>
      </w:r>
      <w:r w:rsidR="00AA0D5E">
        <w:t>Modern Energy Cooking Services (</w:t>
      </w:r>
      <w:r w:rsidR="00D70ACB" w:rsidRPr="00AA0D5E">
        <w:rPr>
          <w:b w:val="0"/>
          <w:bCs/>
        </w:rPr>
        <w:t>Samir Thapa</w:t>
      </w:r>
      <w:r w:rsidR="00AA0D5E">
        <w:rPr>
          <w:b w:val="0"/>
          <w:bCs/>
        </w:rPr>
        <w:t>)</w:t>
      </w:r>
    </w:p>
    <w:p w14:paraId="1539A45C" w14:textId="708017D0" w:rsidR="00E60C4A" w:rsidRDefault="00E60C4A" w:rsidP="00E60C4A">
      <w:pPr>
        <w:pStyle w:val="StyleRegHead111pt"/>
        <w:numPr>
          <w:ilvl w:val="0"/>
          <w:numId w:val="0"/>
        </w:numPr>
        <w:jc w:val="left"/>
      </w:pPr>
      <w:r>
        <w:t>Affiliated organization of the submitter</w:t>
      </w:r>
      <w:r w:rsidR="006D0849">
        <w:t xml:space="preserve"> (if any)</w:t>
      </w:r>
      <w:r>
        <w:t xml:space="preserve">: </w:t>
      </w:r>
      <w:r w:rsidR="00084AC3" w:rsidRPr="00EF28D4">
        <w:t>Modern Energy Cooking Services Program/Loughborough University</w:t>
      </w:r>
      <w:r w:rsidR="00084AC3">
        <w:t xml:space="preserve"> </w:t>
      </w:r>
    </w:p>
    <w:p w14:paraId="5F63183D" w14:textId="41A848A0" w:rsidR="00E60C4A" w:rsidRPr="007F243D" w:rsidRDefault="00E60C4A" w:rsidP="00E60C4A">
      <w:pPr>
        <w:pStyle w:val="StyleRegHead111pt"/>
        <w:numPr>
          <w:ilvl w:val="0"/>
          <w:numId w:val="0"/>
        </w:numPr>
        <w:jc w:val="left"/>
      </w:pPr>
      <w:r>
        <w:t xml:space="preserve">Contact email of submitter: </w:t>
      </w:r>
      <w:r w:rsidR="00084AC3" w:rsidRPr="00571F50">
        <w:t>s.thapa@lboro.ac.uk</w:t>
      </w:r>
    </w:p>
    <w:p w14:paraId="77A5CC8D" w14:textId="77777777" w:rsidR="005B1074" w:rsidRPr="00035035" w:rsidRDefault="005B1074" w:rsidP="005B1074"/>
    <w:p w14:paraId="2EA528BF" w14:textId="77777777" w:rsidR="00DF4F6B" w:rsidRDefault="00DF4F6B">
      <w:pPr>
        <w:spacing w:line="240" w:lineRule="exact"/>
      </w:pPr>
    </w:p>
    <w:tbl>
      <w:tblPr>
        <w:tblW w:w="1430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18"/>
        <w:gridCol w:w="1330"/>
        <w:gridCol w:w="992"/>
        <w:gridCol w:w="4762"/>
        <w:gridCol w:w="4253"/>
        <w:gridCol w:w="2552"/>
      </w:tblGrid>
      <w:tr w:rsidR="00312698" w:rsidRPr="00183F63" w14:paraId="44974AB3" w14:textId="77777777" w:rsidTr="00312698">
        <w:trPr>
          <w:cantSplit/>
          <w:tblHeader/>
          <w:jc w:val="center"/>
        </w:trPr>
        <w:tc>
          <w:tcPr>
            <w:tcW w:w="418" w:type="dxa"/>
            <w:tcBorders>
              <w:top w:val="single" w:sz="6" w:space="0" w:color="auto"/>
              <w:left w:val="single" w:sz="6" w:space="0" w:color="auto"/>
              <w:bottom w:val="single" w:sz="6" w:space="0" w:color="auto"/>
              <w:right w:val="single" w:sz="6" w:space="0" w:color="auto"/>
            </w:tcBorders>
          </w:tcPr>
          <w:p w14:paraId="1118F40B" w14:textId="77777777" w:rsidR="00312698" w:rsidRPr="00183F63" w:rsidRDefault="00312698">
            <w:pPr>
              <w:keepLines/>
              <w:spacing w:before="40" w:after="40" w:line="180" w:lineRule="exact"/>
              <w:jc w:val="center"/>
              <w:rPr>
                <w:b/>
                <w:bCs/>
                <w:sz w:val="16"/>
                <w:szCs w:val="16"/>
              </w:rPr>
            </w:pPr>
            <w:r w:rsidRPr="00183F63">
              <w:rPr>
                <w:b/>
                <w:bCs/>
                <w:sz w:val="16"/>
                <w:szCs w:val="16"/>
              </w:rPr>
              <w:t>0</w:t>
            </w:r>
          </w:p>
        </w:tc>
        <w:tc>
          <w:tcPr>
            <w:tcW w:w="1330" w:type="dxa"/>
            <w:tcBorders>
              <w:top w:val="single" w:sz="6" w:space="0" w:color="auto"/>
              <w:left w:val="single" w:sz="6" w:space="0" w:color="auto"/>
              <w:bottom w:val="single" w:sz="6" w:space="0" w:color="auto"/>
              <w:right w:val="single" w:sz="6" w:space="0" w:color="auto"/>
            </w:tcBorders>
          </w:tcPr>
          <w:p w14:paraId="0556F682" w14:textId="77777777" w:rsidR="00312698" w:rsidRPr="00183F63" w:rsidRDefault="00312698" w:rsidP="009D4D33">
            <w:pPr>
              <w:keepLines/>
              <w:spacing w:before="40" w:after="40" w:line="180" w:lineRule="exact"/>
              <w:jc w:val="left"/>
              <w:rPr>
                <w:b/>
                <w:bCs/>
                <w:sz w:val="16"/>
                <w:szCs w:val="16"/>
              </w:rPr>
            </w:pPr>
            <w:r w:rsidRPr="00183F63">
              <w:rPr>
                <w:b/>
                <w:bCs/>
                <w:sz w:val="16"/>
                <w:szCs w:val="16"/>
              </w:rPr>
              <w:t>1</w:t>
            </w:r>
          </w:p>
        </w:tc>
        <w:tc>
          <w:tcPr>
            <w:tcW w:w="992" w:type="dxa"/>
            <w:tcBorders>
              <w:top w:val="single" w:sz="6" w:space="0" w:color="auto"/>
              <w:left w:val="single" w:sz="6" w:space="0" w:color="auto"/>
              <w:bottom w:val="single" w:sz="6" w:space="0" w:color="auto"/>
              <w:right w:val="single" w:sz="6" w:space="0" w:color="auto"/>
            </w:tcBorders>
          </w:tcPr>
          <w:p w14:paraId="2AF66E0C" w14:textId="77777777" w:rsidR="00312698" w:rsidRPr="00183F63" w:rsidRDefault="00312698">
            <w:pPr>
              <w:keepLines/>
              <w:spacing w:before="40" w:after="40" w:line="180" w:lineRule="exact"/>
              <w:jc w:val="center"/>
              <w:rPr>
                <w:b/>
                <w:bCs/>
                <w:sz w:val="16"/>
                <w:szCs w:val="16"/>
              </w:rPr>
            </w:pPr>
            <w:r w:rsidRPr="00183F63">
              <w:rPr>
                <w:b/>
                <w:bCs/>
                <w:sz w:val="16"/>
                <w:szCs w:val="16"/>
              </w:rPr>
              <w:t>3</w:t>
            </w:r>
          </w:p>
        </w:tc>
        <w:tc>
          <w:tcPr>
            <w:tcW w:w="4762" w:type="dxa"/>
            <w:tcBorders>
              <w:top w:val="single" w:sz="6" w:space="0" w:color="auto"/>
              <w:left w:val="single" w:sz="6" w:space="0" w:color="auto"/>
              <w:bottom w:val="single" w:sz="6" w:space="0" w:color="auto"/>
              <w:right w:val="single" w:sz="6" w:space="0" w:color="auto"/>
            </w:tcBorders>
          </w:tcPr>
          <w:p w14:paraId="4AE8941B" w14:textId="77777777" w:rsidR="00312698" w:rsidRPr="00183F63" w:rsidRDefault="00312698">
            <w:pPr>
              <w:keepLines/>
              <w:spacing w:before="40" w:after="40" w:line="180" w:lineRule="exact"/>
              <w:jc w:val="center"/>
              <w:rPr>
                <w:b/>
                <w:bCs/>
                <w:sz w:val="16"/>
                <w:szCs w:val="16"/>
              </w:rPr>
            </w:pPr>
            <w:r w:rsidRPr="00183F63">
              <w:rPr>
                <w:b/>
                <w:bCs/>
                <w:sz w:val="16"/>
                <w:szCs w:val="16"/>
              </w:rPr>
              <w:t>4</w:t>
            </w:r>
          </w:p>
        </w:tc>
        <w:tc>
          <w:tcPr>
            <w:tcW w:w="4253" w:type="dxa"/>
            <w:tcBorders>
              <w:top w:val="single" w:sz="6" w:space="0" w:color="auto"/>
              <w:left w:val="single" w:sz="6" w:space="0" w:color="auto"/>
              <w:bottom w:val="single" w:sz="6" w:space="0" w:color="auto"/>
              <w:right w:val="single" w:sz="6" w:space="0" w:color="auto"/>
            </w:tcBorders>
          </w:tcPr>
          <w:p w14:paraId="5786B02A" w14:textId="77777777" w:rsidR="00312698" w:rsidRPr="00183F63" w:rsidRDefault="00312698">
            <w:pPr>
              <w:keepLines/>
              <w:spacing w:before="40" w:after="40" w:line="180" w:lineRule="exact"/>
              <w:jc w:val="center"/>
              <w:rPr>
                <w:b/>
                <w:bCs/>
                <w:sz w:val="16"/>
                <w:szCs w:val="16"/>
              </w:rPr>
            </w:pPr>
            <w:r w:rsidRPr="00183F63">
              <w:rPr>
                <w:b/>
                <w:bCs/>
                <w:sz w:val="16"/>
                <w:szCs w:val="16"/>
              </w:rPr>
              <w:t>5</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65212BB9" w14:textId="77777777" w:rsidR="00312698" w:rsidRPr="00183F63" w:rsidRDefault="00312698">
            <w:pPr>
              <w:keepLines/>
              <w:spacing w:before="40" w:after="40" w:line="180" w:lineRule="exact"/>
              <w:jc w:val="center"/>
              <w:rPr>
                <w:b/>
                <w:bCs/>
                <w:sz w:val="16"/>
                <w:szCs w:val="16"/>
              </w:rPr>
            </w:pPr>
            <w:r w:rsidRPr="00183F63">
              <w:rPr>
                <w:b/>
                <w:bCs/>
                <w:sz w:val="16"/>
                <w:szCs w:val="16"/>
              </w:rPr>
              <w:t>6</w:t>
            </w:r>
          </w:p>
        </w:tc>
      </w:tr>
      <w:tr w:rsidR="00312698" w:rsidRPr="00183F63" w14:paraId="48486F42" w14:textId="77777777" w:rsidTr="00312698">
        <w:trPr>
          <w:cantSplit/>
          <w:tblHeader/>
          <w:jc w:val="center"/>
        </w:trPr>
        <w:tc>
          <w:tcPr>
            <w:tcW w:w="418" w:type="dxa"/>
            <w:tcBorders>
              <w:top w:val="single" w:sz="6" w:space="0" w:color="auto"/>
              <w:left w:val="single" w:sz="6" w:space="0" w:color="auto"/>
              <w:bottom w:val="single" w:sz="6" w:space="0" w:color="auto"/>
              <w:right w:val="single" w:sz="6" w:space="0" w:color="auto"/>
            </w:tcBorders>
            <w:shd w:val="clear" w:color="auto" w:fill="E6E6E6"/>
          </w:tcPr>
          <w:p w14:paraId="7B197D7B" w14:textId="77777777" w:rsidR="00312698" w:rsidRPr="00183F63" w:rsidRDefault="00312698">
            <w:pPr>
              <w:keepLines/>
              <w:spacing w:before="40" w:after="40" w:line="190" w:lineRule="exact"/>
              <w:jc w:val="center"/>
              <w:rPr>
                <w:b/>
                <w:bCs/>
                <w:sz w:val="16"/>
                <w:szCs w:val="16"/>
              </w:rPr>
            </w:pPr>
            <w:r w:rsidRPr="00183F63">
              <w:rPr>
                <w:b/>
                <w:bCs/>
                <w:sz w:val="16"/>
                <w:szCs w:val="16"/>
              </w:rPr>
              <w:t>#</w:t>
            </w:r>
          </w:p>
          <w:p w14:paraId="1BEFCA54" w14:textId="77777777" w:rsidR="00312698" w:rsidRPr="00183F63" w:rsidRDefault="00312698" w:rsidP="005242C9">
            <w:pPr>
              <w:keepLines/>
              <w:spacing w:before="40" w:after="40" w:line="190" w:lineRule="exact"/>
              <w:rPr>
                <w:b/>
                <w:bCs/>
                <w:sz w:val="16"/>
                <w:szCs w:val="16"/>
              </w:rPr>
            </w:pPr>
          </w:p>
        </w:tc>
        <w:tc>
          <w:tcPr>
            <w:tcW w:w="1330" w:type="dxa"/>
            <w:tcBorders>
              <w:top w:val="single" w:sz="6" w:space="0" w:color="auto"/>
              <w:left w:val="single" w:sz="6" w:space="0" w:color="auto"/>
              <w:bottom w:val="single" w:sz="6" w:space="0" w:color="auto"/>
              <w:right w:val="single" w:sz="6" w:space="0" w:color="auto"/>
            </w:tcBorders>
            <w:shd w:val="clear" w:color="auto" w:fill="E6E6E6"/>
          </w:tcPr>
          <w:p w14:paraId="5931A8B1" w14:textId="77777777" w:rsidR="00312698" w:rsidRPr="00183F63" w:rsidRDefault="00312698" w:rsidP="009D4D33">
            <w:pPr>
              <w:keepLines/>
              <w:spacing w:before="40" w:after="40" w:line="190" w:lineRule="exact"/>
              <w:jc w:val="left"/>
              <w:rPr>
                <w:b/>
                <w:bCs/>
                <w:sz w:val="16"/>
                <w:szCs w:val="16"/>
              </w:rPr>
            </w:pPr>
            <w:smartTag w:uri="urn:schemas-microsoft-com:office:smarttags" w:element="place">
              <w:r w:rsidRPr="00183F63">
                <w:rPr>
                  <w:b/>
                  <w:bCs/>
                  <w:sz w:val="16"/>
                  <w:szCs w:val="16"/>
                </w:rPr>
                <w:t>Para</w:t>
              </w:r>
            </w:smartTag>
            <w:r w:rsidRPr="00183F63">
              <w:rPr>
                <w:b/>
                <w:bCs/>
                <w:sz w:val="16"/>
                <w:szCs w:val="16"/>
              </w:rPr>
              <w:t xml:space="preserve"> No./</w:t>
            </w:r>
            <w:r w:rsidRPr="00183F63">
              <w:rPr>
                <w:b/>
                <w:bCs/>
                <w:sz w:val="16"/>
                <w:szCs w:val="16"/>
              </w:rPr>
              <w:br/>
              <w:t>Annex / Figure / Table</w:t>
            </w:r>
          </w:p>
        </w:tc>
        <w:tc>
          <w:tcPr>
            <w:tcW w:w="992" w:type="dxa"/>
            <w:tcBorders>
              <w:top w:val="single" w:sz="6" w:space="0" w:color="auto"/>
              <w:left w:val="single" w:sz="6" w:space="0" w:color="auto"/>
              <w:bottom w:val="single" w:sz="6" w:space="0" w:color="auto"/>
              <w:right w:val="single" w:sz="6" w:space="0" w:color="auto"/>
            </w:tcBorders>
            <w:shd w:val="clear" w:color="auto" w:fill="E6E6E6"/>
          </w:tcPr>
          <w:p w14:paraId="5E36EA1D" w14:textId="77777777" w:rsidR="00312698" w:rsidRPr="00183F63" w:rsidRDefault="00312698">
            <w:pPr>
              <w:keepLines/>
              <w:spacing w:before="40" w:after="40" w:line="190" w:lineRule="exact"/>
              <w:jc w:val="center"/>
              <w:rPr>
                <w:b/>
                <w:bCs/>
                <w:sz w:val="16"/>
                <w:szCs w:val="16"/>
              </w:rPr>
            </w:pPr>
            <w:r w:rsidRPr="00183F63">
              <w:rPr>
                <w:b/>
                <w:bCs/>
                <w:sz w:val="16"/>
                <w:szCs w:val="16"/>
              </w:rPr>
              <w:t>Type of comment</w:t>
            </w:r>
          </w:p>
          <w:p w14:paraId="7BC03EA3" w14:textId="77777777" w:rsidR="00312698" w:rsidRPr="00183F63" w:rsidRDefault="00312698">
            <w:pPr>
              <w:keepLines/>
              <w:spacing w:before="40" w:after="40" w:line="190" w:lineRule="exact"/>
              <w:jc w:val="center"/>
              <w:rPr>
                <w:rStyle w:val="PageNumber"/>
                <w:sz w:val="16"/>
                <w:szCs w:val="16"/>
              </w:rPr>
            </w:pPr>
            <w:proofErr w:type="spellStart"/>
            <w:r w:rsidRPr="00183F63">
              <w:rPr>
                <w:rStyle w:val="PageNumber"/>
                <w:b/>
                <w:bCs/>
                <w:sz w:val="16"/>
                <w:szCs w:val="16"/>
              </w:rPr>
              <w:t>ge</w:t>
            </w:r>
            <w:proofErr w:type="spellEnd"/>
            <w:r w:rsidRPr="00183F63">
              <w:rPr>
                <w:rStyle w:val="PageNumber"/>
                <w:sz w:val="16"/>
                <w:szCs w:val="16"/>
              </w:rPr>
              <w:t xml:space="preserve"> = general</w:t>
            </w:r>
          </w:p>
          <w:p w14:paraId="192FE6D5" w14:textId="77777777" w:rsidR="00312698" w:rsidRPr="00183F63" w:rsidRDefault="00312698">
            <w:pPr>
              <w:keepLines/>
              <w:spacing w:before="40" w:after="40" w:line="190" w:lineRule="exact"/>
              <w:jc w:val="center"/>
              <w:rPr>
                <w:b/>
                <w:bCs/>
                <w:sz w:val="16"/>
                <w:szCs w:val="16"/>
              </w:rPr>
            </w:pPr>
            <w:proofErr w:type="spellStart"/>
            <w:r w:rsidRPr="00183F63">
              <w:rPr>
                <w:rStyle w:val="PageNumber"/>
                <w:b/>
                <w:bCs/>
                <w:sz w:val="16"/>
                <w:szCs w:val="16"/>
              </w:rPr>
              <w:t>te</w:t>
            </w:r>
            <w:proofErr w:type="spellEnd"/>
            <w:r w:rsidRPr="00183F63">
              <w:rPr>
                <w:rStyle w:val="PageNumber"/>
                <w:sz w:val="16"/>
                <w:szCs w:val="16"/>
              </w:rPr>
              <w:t xml:space="preserve"> = technical </w:t>
            </w:r>
            <w:r w:rsidRPr="00183F63">
              <w:rPr>
                <w:rStyle w:val="PageNumber"/>
                <w:sz w:val="16"/>
                <w:szCs w:val="16"/>
              </w:rPr>
              <w:tab/>
            </w:r>
            <w:r w:rsidRPr="00183F63">
              <w:rPr>
                <w:rStyle w:val="PageNumber"/>
                <w:b/>
                <w:bCs/>
                <w:sz w:val="16"/>
                <w:szCs w:val="16"/>
              </w:rPr>
              <w:t>ed</w:t>
            </w:r>
            <w:r w:rsidRPr="00183F63">
              <w:rPr>
                <w:rStyle w:val="PageNumber"/>
                <w:sz w:val="16"/>
                <w:szCs w:val="16"/>
              </w:rPr>
              <w:t xml:space="preserve"> = editorial </w:t>
            </w:r>
          </w:p>
        </w:tc>
        <w:tc>
          <w:tcPr>
            <w:tcW w:w="4762" w:type="dxa"/>
            <w:tcBorders>
              <w:top w:val="single" w:sz="6" w:space="0" w:color="auto"/>
              <w:left w:val="single" w:sz="6" w:space="0" w:color="auto"/>
              <w:bottom w:val="single" w:sz="6" w:space="0" w:color="auto"/>
              <w:right w:val="single" w:sz="6" w:space="0" w:color="auto"/>
            </w:tcBorders>
            <w:shd w:val="clear" w:color="auto" w:fill="E6E6E6"/>
          </w:tcPr>
          <w:p w14:paraId="5DB73758" w14:textId="77777777" w:rsidR="00312698" w:rsidRPr="00183F63" w:rsidRDefault="00312698">
            <w:pPr>
              <w:keepLines/>
              <w:spacing w:before="40" w:after="40" w:line="190" w:lineRule="exact"/>
              <w:jc w:val="center"/>
              <w:rPr>
                <w:b/>
                <w:bCs/>
                <w:sz w:val="16"/>
                <w:szCs w:val="16"/>
              </w:rPr>
            </w:pPr>
            <w:r w:rsidRPr="00183F63">
              <w:rPr>
                <w:b/>
                <w:bCs/>
                <w:sz w:val="16"/>
                <w:szCs w:val="16"/>
              </w:rPr>
              <w:t xml:space="preserve">Comment </w:t>
            </w:r>
          </w:p>
          <w:p w14:paraId="58D30D20" w14:textId="77777777" w:rsidR="00312698" w:rsidRPr="00183F63" w:rsidRDefault="00312698">
            <w:pPr>
              <w:keepLines/>
              <w:spacing w:before="40" w:after="40" w:line="190" w:lineRule="exact"/>
              <w:jc w:val="center"/>
              <w:rPr>
                <w:b/>
                <w:bCs/>
                <w:sz w:val="16"/>
                <w:szCs w:val="16"/>
              </w:rPr>
            </w:pPr>
            <w:r w:rsidRPr="00183F63">
              <w:rPr>
                <w:b/>
                <w:bCs/>
                <w:sz w:val="16"/>
                <w:szCs w:val="16"/>
              </w:rPr>
              <w:t>(including justification for change)</w:t>
            </w:r>
          </w:p>
        </w:tc>
        <w:tc>
          <w:tcPr>
            <w:tcW w:w="4253" w:type="dxa"/>
            <w:tcBorders>
              <w:top w:val="single" w:sz="6" w:space="0" w:color="auto"/>
              <w:left w:val="single" w:sz="6" w:space="0" w:color="auto"/>
              <w:bottom w:val="single" w:sz="6" w:space="0" w:color="auto"/>
              <w:right w:val="single" w:sz="6" w:space="0" w:color="auto"/>
            </w:tcBorders>
            <w:shd w:val="clear" w:color="auto" w:fill="E6E6E6"/>
          </w:tcPr>
          <w:p w14:paraId="33AB5C84" w14:textId="77777777" w:rsidR="00312698" w:rsidRPr="00183F63" w:rsidRDefault="00312698">
            <w:pPr>
              <w:keepLines/>
              <w:spacing w:before="40" w:after="40" w:line="190" w:lineRule="exact"/>
              <w:jc w:val="center"/>
              <w:rPr>
                <w:b/>
                <w:bCs/>
                <w:sz w:val="16"/>
                <w:szCs w:val="16"/>
              </w:rPr>
            </w:pPr>
            <w:r w:rsidRPr="00183F63">
              <w:rPr>
                <w:b/>
                <w:bCs/>
                <w:sz w:val="16"/>
                <w:szCs w:val="16"/>
              </w:rPr>
              <w:t xml:space="preserve">Proposed change </w:t>
            </w:r>
          </w:p>
          <w:p w14:paraId="50091044" w14:textId="77777777" w:rsidR="00312698" w:rsidRPr="00183F63" w:rsidRDefault="00312698">
            <w:pPr>
              <w:keepLines/>
              <w:spacing w:before="40" w:after="40" w:line="190" w:lineRule="exact"/>
              <w:jc w:val="center"/>
              <w:rPr>
                <w:b/>
                <w:bCs/>
                <w:sz w:val="16"/>
                <w:szCs w:val="16"/>
              </w:rPr>
            </w:pPr>
            <w:r w:rsidRPr="00183F63">
              <w:rPr>
                <w:b/>
                <w:bCs/>
                <w:sz w:val="16"/>
                <w:szCs w:val="16"/>
              </w:rPr>
              <w:t>(including proposed text)</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06C1D227" w14:textId="77777777" w:rsidR="00312698" w:rsidRPr="00183F63" w:rsidRDefault="00312698" w:rsidP="005A256D">
            <w:pPr>
              <w:keepLines/>
              <w:spacing w:before="40" w:after="40" w:line="190" w:lineRule="exact"/>
              <w:jc w:val="center"/>
              <w:rPr>
                <w:b/>
                <w:bCs/>
                <w:sz w:val="16"/>
                <w:szCs w:val="16"/>
              </w:rPr>
            </w:pPr>
            <w:r w:rsidRPr="00183F63">
              <w:rPr>
                <w:b/>
                <w:bCs/>
                <w:sz w:val="16"/>
                <w:szCs w:val="16"/>
              </w:rPr>
              <w:t>Assessment of comment</w:t>
            </w:r>
          </w:p>
          <w:p w14:paraId="54A7E6A7" w14:textId="77777777" w:rsidR="00312698" w:rsidRPr="00183F63" w:rsidRDefault="00312698" w:rsidP="005A256D">
            <w:pPr>
              <w:keepLines/>
              <w:spacing w:before="40" w:after="40" w:line="190" w:lineRule="exact"/>
              <w:jc w:val="center"/>
              <w:rPr>
                <w:b/>
                <w:bCs/>
                <w:sz w:val="16"/>
                <w:szCs w:val="16"/>
              </w:rPr>
            </w:pPr>
            <w:r w:rsidRPr="00183F63">
              <w:rPr>
                <w:b/>
                <w:bCs/>
                <w:sz w:val="16"/>
                <w:szCs w:val="16"/>
              </w:rPr>
              <w:t>(</w:t>
            </w:r>
            <w:r w:rsidRPr="00183F63">
              <w:rPr>
                <w:b/>
                <w:bCs/>
                <w:i/>
                <w:sz w:val="16"/>
                <w:szCs w:val="16"/>
              </w:rPr>
              <w:t>to be completed by UNFCCC secretariat</w:t>
            </w:r>
            <w:r w:rsidRPr="00183F63">
              <w:rPr>
                <w:b/>
                <w:bCs/>
                <w:sz w:val="16"/>
                <w:szCs w:val="16"/>
              </w:rPr>
              <w:t>)</w:t>
            </w:r>
          </w:p>
        </w:tc>
      </w:tr>
      <w:tr w:rsidR="00312698" w:rsidRPr="00183F63" w14:paraId="1C987185" w14:textId="77777777" w:rsidTr="00312698">
        <w:trPr>
          <w:cantSplit/>
          <w:jc w:val="center"/>
        </w:trPr>
        <w:tc>
          <w:tcPr>
            <w:tcW w:w="418" w:type="dxa"/>
            <w:tcBorders>
              <w:top w:val="single" w:sz="6" w:space="0" w:color="auto"/>
              <w:left w:val="single" w:sz="6" w:space="0" w:color="auto"/>
              <w:bottom w:val="single" w:sz="6" w:space="0" w:color="auto"/>
              <w:right w:val="single" w:sz="6" w:space="0" w:color="auto"/>
            </w:tcBorders>
          </w:tcPr>
          <w:p w14:paraId="6DD36F7D" w14:textId="3B323D1D" w:rsidR="00312698" w:rsidRPr="00183F63" w:rsidRDefault="00D81864" w:rsidP="00150408">
            <w:pPr>
              <w:keepLines/>
              <w:spacing w:before="40" w:after="40" w:line="190" w:lineRule="exact"/>
              <w:jc w:val="left"/>
              <w:rPr>
                <w:sz w:val="16"/>
                <w:szCs w:val="16"/>
              </w:rPr>
            </w:pPr>
            <w:r>
              <w:rPr>
                <w:sz w:val="16"/>
                <w:szCs w:val="16"/>
              </w:rPr>
              <w:t>1.</w:t>
            </w:r>
          </w:p>
        </w:tc>
        <w:tc>
          <w:tcPr>
            <w:tcW w:w="1330" w:type="dxa"/>
            <w:tcBorders>
              <w:top w:val="single" w:sz="6" w:space="0" w:color="auto"/>
              <w:left w:val="single" w:sz="6" w:space="0" w:color="auto"/>
              <w:bottom w:val="single" w:sz="6" w:space="0" w:color="auto"/>
              <w:right w:val="single" w:sz="6" w:space="0" w:color="auto"/>
            </w:tcBorders>
          </w:tcPr>
          <w:p w14:paraId="63690552" w14:textId="731F1DF8" w:rsidR="00312698" w:rsidRPr="00183F63" w:rsidRDefault="00312698" w:rsidP="009D4D33">
            <w:pPr>
              <w:keepLines/>
              <w:spacing w:before="40" w:after="40" w:line="190" w:lineRule="exact"/>
              <w:jc w:val="left"/>
              <w:rPr>
                <w:sz w:val="16"/>
                <w:szCs w:val="16"/>
              </w:rPr>
            </w:pPr>
            <w:r w:rsidRPr="00183F63">
              <w:rPr>
                <w:sz w:val="16"/>
                <w:szCs w:val="16"/>
              </w:rPr>
              <w:t>Section 2.6</w:t>
            </w:r>
          </w:p>
        </w:tc>
        <w:tc>
          <w:tcPr>
            <w:tcW w:w="992" w:type="dxa"/>
            <w:tcBorders>
              <w:top w:val="single" w:sz="6" w:space="0" w:color="auto"/>
              <w:left w:val="single" w:sz="6" w:space="0" w:color="auto"/>
              <w:bottom w:val="single" w:sz="6" w:space="0" w:color="auto"/>
              <w:right w:val="single" w:sz="6" w:space="0" w:color="auto"/>
            </w:tcBorders>
          </w:tcPr>
          <w:p w14:paraId="01258493" w14:textId="1CB174AD" w:rsidR="00312698" w:rsidRPr="00183F63" w:rsidRDefault="00312698" w:rsidP="00150408">
            <w:pPr>
              <w:keepLines/>
              <w:spacing w:before="40" w:after="40" w:line="190" w:lineRule="exact"/>
              <w:jc w:val="left"/>
              <w:rPr>
                <w:sz w:val="16"/>
                <w:szCs w:val="16"/>
              </w:rPr>
            </w:pPr>
            <w:proofErr w:type="spellStart"/>
            <w:r w:rsidRPr="00183F63">
              <w:rPr>
                <w:sz w:val="16"/>
                <w:szCs w:val="16"/>
              </w:rPr>
              <w:t>Te</w:t>
            </w:r>
            <w:proofErr w:type="spellEnd"/>
            <w:r w:rsidRPr="00183F63">
              <w:rPr>
                <w:sz w:val="16"/>
                <w:szCs w:val="16"/>
              </w:rPr>
              <w:t xml:space="preserve"> </w:t>
            </w:r>
          </w:p>
        </w:tc>
        <w:tc>
          <w:tcPr>
            <w:tcW w:w="4762" w:type="dxa"/>
            <w:tcBorders>
              <w:top w:val="single" w:sz="6" w:space="0" w:color="auto"/>
              <w:left w:val="single" w:sz="6" w:space="0" w:color="auto"/>
              <w:bottom w:val="single" w:sz="6" w:space="0" w:color="auto"/>
              <w:right w:val="single" w:sz="6" w:space="0" w:color="auto"/>
            </w:tcBorders>
          </w:tcPr>
          <w:p w14:paraId="391C68B5" w14:textId="77777777" w:rsidR="005C4A98" w:rsidRDefault="005C4A98" w:rsidP="00183F63">
            <w:pPr>
              <w:pStyle w:val="Default"/>
              <w:rPr>
                <w:rFonts w:ascii="Arial" w:hAnsi="Arial" w:cs="Arial"/>
                <w:sz w:val="16"/>
                <w:szCs w:val="16"/>
              </w:rPr>
            </w:pPr>
          </w:p>
          <w:p w14:paraId="36B0BE26" w14:textId="77777777" w:rsidR="00FE40DE" w:rsidRDefault="00183F63" w:rsidP="00183F63">
            <w:pPr>
              <w:pStyle w:val="Default"/>
              <w:rPr>
                <w:rFonts w:ascii="Arial" w:hAnsi="Arial" w:cs="Arial"/>
                <w:sz w:val="16"/>
                <w:szCs w:val="16"/>
              </w:rPr>
            </w:pPr>
            <w:r w:rsidRPr="00183F63">
              <w:rPr>
                <w:rFonts w:ascii="Arial" w:hAnsi="Arial" w:cs="Arial"/>
                <w:sz w:val="16"/>
                <w:szCs w:val="16"/>
              </w:rPr>
              <w:t xml:space="preserve">Only emission due to changes in the </w:t>
            </w:r>
            <w:r w:rsidR="001B51C7" w:rsidRPr="00183F63">
              <w:rPr>
                <w:rFonts w:ascii="Arial" w:hAnsi="Arial" w:cs="Arial"/>
                <w:sz w:val="16"/>
                <w:szCs w:val="16"/>
              </w:rPr>
              <w:t>above ground</w:t>
            </w:r>
            <w:r w:rsidR="00996852">
              <w:rPr>
                <w:rFonts w:ascii="Arial" w:hAnsi="Arial" w:cs="Arial"/>
                <w:sz w:val="16"/>
                <w:szCs w:val="16"/>
              </w:rPr>
              <w:t xml:space="preserve"> is considered</w:t>
            </w:r>
            <w:r w:rsidRPr="00183F63">
              <w:rPr>
                <w:rFonts w:ascii="Arial" w:hAnsi="Arial" w:cs="Arial"/>
                <w:sz w:val="16"/>
                <w:szCs w:val="16"/>
              </w:rPr>
              <w:t xml:space="preserve">, </w:t>
            </w:r>
            <w:r w:rsidR="00996852">
              <w:rPr>
                <w:rFonts w:ascii="Arial" w:hAnsi="Arial" w:cs="Arial"/>
                <w:sz w:val="16"/>
                <w:szCs w:val="16"/>
              </w:rPr>
              <w:t xml:space="preserve">while literature </w:t>
            </w:r>
            <w:r w:rsidR="005C00F5">
              <w:rPr>
                <w:rFonts w:ascii="Arial" w:hAnsi="Arial" w:cs="Arial"/>
                <w:sz w:val="16"/>
                <w:szCs w:val="16"/>
              </w:rPr>
              <w:t>suggests significant influence of the below ground biomass</w:t>
            </w:r>
            <w:r w:rsidR="006B2A23">
              <w:rPr>
                <w:rFonts w:ascii="Arial" w:hAnsi="Arial" w:cs="Arial"/>
                <w:sz w:val="16"/>
                <w:szCs w:val="16"/>
              </w:rPr>
              <w:t>.</w:t>
            </w:r>
            <w:r w:rsidRPr="00183F63">
              <w:rPr>
                <w:rFonts w:ascii="Arial" w:hAnsi="Arial" w:cs="Arial"/>
                <w:sz w:val="16"/>
                <w:szCs w:val="16"/>
              </w:rPr>
              <w:t xml:space="preserve"> </w:t>
            </w:r>
          </w:p>
          <w:p w14:paraId="61B74B4A" w14:textId="77777777" w:rsidR="00FE40DE" w:rsidRDefault="00FE40DE" w:rsidP="00183F63">
            <w:pPr>
              <w:pStyle w:val="Default"/>
              <w:rPr>
                <w:rFonts w:ascii="Arial" w:hAnsi="Arial" w:cs="Arial"/>
                <w:sz w:val="16"/>
                <w:szCs w:val="16"/>
              </w:rPr>
            </w:pPr>
          </w:p>
          <w:p w14:paraId="5514EAD2" w14:textId="4DAFD264" w:rsidR="001B51C7" w:rsidRDefault="00931AAA" w:rsidP="00183F63">
            <w:pPr>
              <w:pStyle w:val="Default"/>
              <w:rPr>
                <w:rFonts w:ascii="Arial" w:hAnsi="Arial" w:cs="Arial"/>
                <w:sz w:val="16"/>
                <w:szCs w:val="16"/>
              </w:rPr>
            </w:pPr>
            <w:r>
              <w:rPr>
                <w:rFonts w:ascii="Arial" w:hAnsi="Arial" w:cs="Arial"/>
                <w:sz w:val="16"/>
                <w:szCs w:val="16"/>
              </w:rPr>
              <w:fldChar w:fldCharType="begin" w:fldLock="1"/>
            </w:r>
            <w:r>
              <w:rPr>
                <w:rFonts w:ascii="Arial" w:hAnsi="Arial" w:cs="Arial"/>
                <w:sz w:val="16"/>
                <w:szCs w:val="16"/>
              </w:rPr>
              <w:instrText>ADDIN CSL_CITATION {"citationItems":[{"id":"ITEM-1","itemData":{"DOI":"https://doi.org/10.1016/j.jclepro.2024.140677","ISSN":"0959-6526","abstract":"Biomass, as a raw material, has been identified as a crucial component of decarbonization strategies to mitigate climate change. Decisions on which biomass should be targeted for different purposes are dependent on variables such as availability, chemical composition, and sustainability. Consumer perception often positions non-wood sources, such as bamboo, as environmentally preferable feedstocks for fiber-based product production. Yet, this perceived environmental benefit lacks robust scientific substantiation and standardized methodologies. This study addresses this gap by conducting a cradle-to-gate life cycle assessment (LCA) of twelve biomass production systems encompassing tree plantations, dedicated crops, and agricultural residues for energy and bioproducts manufacture. The evaluated feedstocks include southern softwood, wheat straw, rice straw, rice husk, hemp hurd, sugarcane bagasse, switchgrass, biomass sorghum (United States), eucalyptus (Brazil), bamboo (China), and northern softwood (Canada). Incorporating a critical yet often overlooked factor, this LCA integrates the potential soil organic carbon sequestration (SOC) via below-ground biomass for each biomass type. This consideration significantly alters the estimated carbon intensity per ton of feedstock, potentially reshaping sustainability perceptions as certain systems emerge as carbon sinks. From a cradle-to-farm gate perspective, the assessed global warming potential for biomass production spans 12–245 kg CO2eq per oven-dry ton (ODt), factoring only anthropogenic emissions. However, when accounting for SOC sequestration, the range shifts to −170 to 228 kg CO2eq per ODt, highlighting the potential role of biomass to act as carbon sink systems. By illuminating the dynamic influence of SOC sequestration, this study contributes to a more comprehensive understanding of biomass-related carbon emissions, shedding light on pathways to mitigate environmental impact.","author":[{"dropping-particle":"","family":"Forfora","given":"Naycari","non-dropping-particle":"","parse-names":false,"suffix":""},{"dropping-particle":"","family":"Azuaje","given":"Ivana","non-dropping-particle":"","parse-names":false,"suffix":""},{"dropping-particle":"","family":"Vivas","given":"Keren A","non-dropping-particle":"","parse-names":false,"suffix":""},{"dropping-particle":"","family":"Vera","given":"Ramon E","non-dropping-particle":"","parse-names":false,"suffix":""},{"dropping-particle":"","family":"Brito","given":"Amelys","non-dropping-particle":"","parse-names":false,"suffix":""},{"dropping-particle":"","family":"Venditti","given":"Richard","non-dropping-particle":"","parse-names":false,"suffix":""},{"dropping-particle":"","family":"Kelley","given":"Stephen","non-dropping-particle":"","parse-names":false,"suffix":""},{"dropping-particle":"","family":"Tu","given":"Qingshi","non-dropping-particle":"","parse-names":false,"suffix":""},{"dropping-particle":"","family":"Woodley","given":"Alex","non-dropping-particle":"","parse-names":false,"suffix":""},{"dropping-particle":"","family":"Gonzalez","given":"Ronalds","non-dropping-particle":"","parse-names":false,"suffix":""}],"container-title":"Journal of Cleaner Production","id":"ITEM-1","issued":{"date-parts":[["2024"]]},"page":"140677","title":"Evaluating biomass sustainability: Why below-ground carbon sequestration matters","type":"article-journal","volume":"439"},"uris":["http://www.mendeley.com/documents/?uuid=e1c06a1a-1bbc-420c-b2dd-f35bc5dd8747"]}],"mendeley":{"formattedCitation":"(Forfora et al., 2024)","plainTextFormattedCitation":"(Forfora et al., 2024)"},"properties":{"noteIndex":0},"schema":"https://github.com/citation-style-language/schema/raw/master/csl-citation.json"}</w:instrText>
            </w:r>
            <w:r>
              <w:rPr>
                <w:rFonts w:ascii="Arial" w:hAnsi="Arial" w:cs="Arial"/>
                <w:sz w:val="16"/>
                <w:szCs w:val="16"/>
              </w:rPr>
              <w:fldChar w:fldCharType="separate"/>
            </w:r>
            <w:r w:rsidRPr="00931AAA">
              <w:rPr>
                <w:rFonts w:ascii="Arial" w:hAnsi="Arial" w:cs="Arial"/>
                <w:noProof/>
                <w:sz w:val="16"/>
                <w:szCs w:val="16"/>
              </w:rPr>
              <w:t>(Forfora et al., 2024)</w:t>
            </w:r>
            <w:r>
              <w:rPr>
                <w:rFonts w:ascii="Arial" w:hAnsi="Arial" w:cs="Arial"/>
                <w:sz w:val="16"/>
                <w:szCs w:val="16"/>
              </w:rPr>
              <w:fldChar w:fldCharType="end"/>
            </w:r>
            <w:r>
              <w:rPr>
                <w:rFonts w:ascii="Arial" w:hAnsi="Arial" w:cs="Arial"/>
                <w:sz w:val="16"/>
                <w:szCs w:val="16"/>
              </w:rPr>
              <w:t xml:space="preserve"> states that f</w:t>
            </w:r>
            <w:r w:rsidR="001B51C7" w:rsidRPr="001B51C7">
              <w:rPr>
                <w:rFonts w:ascii="Arial" w:hAnsi="Arial" w:cs="Arial"/>
                <w:sz w:val="16"/>
                <w:szCs w:val="16"/>
              </w:rPr>
              <w:t xml:space="preserve">rom a cradle-to-farm gate perspective, the global warming potential for biomass production spans 12–245 kg CO2eq per oven-dry ton factoring only anthropogenic emissions. However, when accounting for SOC sequestration, the range shifts to −170 to 228 kg CO2eq per </w:t>
            </w:r>
            <w:proofErr w:type="spellStart"/>
            <w:r w:rsidR="001B51C7" w:rsidRPr="001B51C7">
              <w:rPr>
                <w:rFonts w:ascii="Arial" w:hAnsi="Arial" w:cs="Arial"/>
                <w:sz w:val="16"/>
                <w:szCs w:val="16"/>
              </w:rPr>
              <w:t>ODt</w:t>
            </w:r>
            <w:proofErr w:type="spellEnd"/>
            <w:r w:rsidR="001B51C7" w:rsidRPr="001B51C7">
              <w:rPr>
                <w:rFonts w:ascii="Arial" w:hAnsi="Arial" w:cs="Arial"/>
                <w:sz w:val="16"/>
                <w:szCs w:val="16"/>
              </w:rPr>
              <w:t>, highlighting the potential role of biomass to act as carbon sink systems</w:t>
            </w:r>
            <w:r w:rsidR="00AB6422">
              <w:rPr>
                <w:rFonts w:ascii="Arial" w:hAnsi="Arial" w:cs="Arial"/>
                <w:sz w:val="16"/>
                <w:szCs w:val="16"/>
              </w:rPr>
              <w:t xml:space="preserve"> </w:t>
            </w:r>
          </w:p>
          <w:p w14:paraId="7606DB49" w14:textId="77777777" w:rsidR="00AB6422" w:rsidRDefault="00AB6422" w:rsidP="00183F63">
            <w:pPr>
              <w:pStyle w:val="Default"/>
              <w:rPr>
                <w:rFonts w:ascii="Arial" w:hAnsi="Arial" w:cs="Arial"/>
                <w:sz w:val="16"/>
                <w:szCs w:val="16"/>
              </w:rPr>
            </w:pPr>
          </w:p>
          <w:p w14:paraId="120ECA60" w14:textId="1D3452A5" w:rsidR="00183F63" w:rsidRPr="00183F63" w:rsidRDefault="009A13A5" w:rsidP="00183F63">
            <w:pPr>
              <w:pStyle w:val="Default"/>
              <w:rPr>
                <w:rFonts w:ascii="Arial" w:hAnsi="Arial" w:cs="Arial"/>
                <w:sz w:val="16"/>
                <w:szCs w:val="16"/>
              </w:rPr>
            </w:pPr>
            <w:r>
              <w:rPr>
                <w:rFonts w:ascii="Arial" w:hAnsi="Arial" w:cs="Arial"/>
                <w:sz w:val="16"/>
                <w:szCs w:val="16"/>
              </w:rPr>
              <w:t xml:space="preserve">This </w:t>
            </w:r>
            <w:r w:rsidR="00E52F59">
              <w:rPr>
                <w:rFonts w:ascii="Arial" w:hAnsi="Arial" w:cs="Arial"/>
                <w:sz w:val="16"/>
                <w:szCs w:val="16"/>
              </w:rPr>
              <w:t xml:space="preserve">shows </w:t>
            </w:r>
            <w:r>
              <w:rPr>
                <w:rFonts w:ascii="Arial" w:hAnsi="Arial" w:cs="Arial"/>
                <w:sz w:val="16"/>
                <w:szCs w:val="16"/>
              </w:rPr>
              <w:t>the</w:t>
            </w:r>
            <w:r w:rsidR="00052615">
              <w:rPr>
                <w:rFonts w:ascii="Arial" w:hAnsi="Arial" w:cs="Arial"/>
                <w:sz w:val="16"/>
                <w:szCs w:val="16"/>
              </w:rPr>
              <w:t xml:space="preserve">re could be substantial emissions from the below ground biomass – </w:t>
            </w:r>
            <w:r w:rsidR="00183F63" w:rsidRPr="00183F63">
              <w:rPr>
                <w:rFonts w:ascii="Arial" w:hAnsi="Arial" w:cs="Arial"/>
                <w:sz w:val="16"/>
                <w:szCs w:val="16"/>
              </w:rPr>
              <w:t xml:space="preserve">however their emissions due to decay and other incidents </w:t>
            </w:r>
            <w:r w:rsidR="0017739E">
              <w:rPr>
                <w:rFonts w:ascii="Arial" w:hAnsi="Arial" w:cs="Arial"/>
                <w:sz w:val="16"/>
                <w:szCs w:val="16"/>
              </w:rPr>
              <w:t xml:space="preserve">could </w:t>
            </w:r>
            <w:r w:rsidR="00183F63" w:rsidRPr="00183F63">
              <w:rPr>
                <w:rFonts w:ascii="Arial" w:hAnsi="Arial" w:cs="Arial"/>
                <w:sz w:val="16"/>
                <w:szCs w:val="16"/>
              </w:rPr>
              <w:t xml:space="preserve">not </w:t>
            </w:r>
            <w:r w:rsidR="0017739E">
              <w:rPr>
                <w:rFonts w:ascii="Arial" w:hAnsi="Arial" w:cs="Arial"/>
                <w:sz w:val="16"/>
                <w:szCs w:val="16"/>
              </w:rPr>
              <w:t xml:space="preserve">be </w:t>
            </w:r>
            <w:r w:rsidR="00183F63" w:rsidRPr="00183F63">
              <w:rPr>
                <w:rFonts w:ascii="Arial" w:hAnsi="Arial" w:cs="Arial"/>
                <w:sz w:val="16"/>
                <w:szCs w:val="16"/>
              </w:rPr>
              <w:t xml:space="preserve">as direct as the use and combustion </w:t>
            </w:r>
            <w:r w:rsidR="00A87AF6">
              <w:rPr>
                <w:rFonts w:ascii="Arial" w:hAnsi="Arial" w:cs="Arial"/>
                <w:sz w:val="16"/>
                <w:szCs w:val="16"/>
              </w:rPr>
              <w:t xml:space="preserve">of </w:t>
            </w:r>
            <w:r w:rsidR="00183F63" w:rsidRPr="00183F63">
              <w:rPr>
                <w:rFonts w:ascii="Arial" w:hAnsi="Arial" w:cs="Arial"/>
                <w:sz w:val="16"/>
                <w:szCs w:val="16"/>
              </w:rPr>
              <w:t>above ground biomass</w:t>
            </w:r>
            <w:r w:rsidR="007F52D2">
              <w:rPr>
                <w:rFonts w:ascii="Arial" w:hAnsi="Arial" w:cs="Arial"/>
                <w:sz w:val="16"/>
                <w:szCs w:val="16"/>
              </w:rPr>
              <w:t xml:space="preserve"> (e.g. </w:t>
            </w:r>
            <w:r w:rsidR="00AF028B">
              <w:rPr>
                <w:rFonts w:ascii="Arial" w:hAnsi="Arial" w:cs="Arial"/>
                <w:sz w:val="16"/>
                <w:szCs w:val="16"/>
              </w:rPr>
              <w:t xml:space="preserve">leaching of biomass could cause methane emissions). </w:t>
            </w:r>
          </w:p>
          <w:p w14:paraId="175BBD6B" w14:textId="67298F2B" w:rsidR="00183F63" w:rsidRPr="00183F63" w:rsidRDefault="00183F63" w:rsidP="00150408">
            <w:pPr>
              <w:keepLines/>
              <w:spacing w:before="40" w:after="40" w:line="190" w:lineRule="exact"/>
              <w:jc w:val="left"/>
              <w:rPr>
                <w:sz w:val="16"/>
                <w:szCs w:val="16"/>
              </w:rPr>
            </w:pPr>
          </w:p>
        </w:tc>
        <w:tc>
          <w:tcPr>
            <w:tcW w:w="4253" w:type="dxa"/>
            <w:tcBorders>
              <w:top w:val="single" w:sz="6" w:space="0" w:color="auto"/>
              <w:left w:val="single" w:sz="6" w:space="0" w:color="auto"/>
              <w:bottom w:val="single" w:sz="6" w:space="0" w:color="auto"/>
              <w:right w:val="single" w:sz="6" w:space="0" w:color="auto"/>
            </w:tcBorders>
          </w:tcPr>
          <w:p w14:paraId="4D0F1FA4" w14:textId="77777777" w:rsidR="007F52D2" w:rsidRDefault="007F52D2" w:rsidP="007F52D2">
            <w:pPr>
              <w:pStyle w:val="Default"/>
              <w:rPr>
                <w:rFonts w:ascii="Arial" w:hAnsi="Arial" w:cs="Arial"/>
                <w:sz w:val="16"/>
                <w:szCs w:val="16"/>
              </w:rPr>
            </w:pPr>
          </w:p>
          <w:p w14:paraId="25144616" w14:textId="77259490" w:rsidR="006A2E75" w:rsidRDefault="006A2E75" w:rsidP="006A2E75">
            <w:pPr>
              <w:pStyle w:val="Default"/>
              <w:rPr>
                <w:rFonts w:ascii="Arial" w:hAnsi="Arial" w:cs="Arial"/>
                <w:sz w:val="16"/>
                <w:szCs w:val="16"/>
              </w:rPr>
            </w:pPr>
            <w:r>
              <w:rPr>
                <w:rFonts w:ascii="Arial" w:hAnsi="Arial" w:cs="Arial"/>
                <w:color w:val="auto"/>
                <w:sz w:val="16"/>
                <w:szCs w:val="16"/>
                <w:lang w:eastAsia="en-US"/>
              </w:rPr>
              <w:t>While i</w:t>
            </w:r>
            <w:r w:rsidRPr="00E9194F">
              <w:rPr>
                <w:rFonts w:ascii="Arial" w:hAnsi="Arial" w:cs="Arial"/>
                <w:color w:val="auto"/>
                <w:sz w:val="16"/>
                <w:szCs w:val="16"/>
                <w:lang w:eastAsia="en-US"/>
              </w:rPr>
              <w:t>ncluding the</w:t>
            </w:r>
            <w:r>
              <w:rPr>
                <w:rFonts w:ascii="Arial" w:hAnsi="Arial" w:cs="Arial"/>
                <w:color w:val="auto"/>
                <w:sz w:val="16"/>
                <w:szCs w:val="16"/>
                <w:lang w:eastAsia="en-US"/>
              </w:rPr>
              <w:t xml:space="preserve"> </w:t>
            </w:r>
            <w:r w:rsidRPr="00E9194F">
              <w:rPr>
                <w:rFonts w:ascii="Arial" w:hAnsi="Arial" w:cs="Arial"/>
                <w:color w:val="auto"/>
                <w:sz w:val="16"/>
                <w:szCs w:val="16"/>
                <w:lang w:eastAsia="en-US"/>
              </w:rPr>
              <w:t>carbon pools would make an already complicated model much more complex</w:t>
            </w:r>
            <w:r>
              <w:rPr>
                <w:rFonts w:ascii="Arial" w:hAnsi="Arial" w:cs="Arial"/>
                <w:color w:val="auto"/>
                <w:sz w:val="16"/>
                <w:szCs w:val="16"/>
                <w:lang w:eastAsia="en-US"/>
              </w:rPr>
              <w:t xml:space="preserve">, but </w:t>
            </w:r>
            <w:r w:rsidRPr="00E9194F">
              <w:rPr>
                <w:rFonts w:ascii="Arial" w:hAnsi="Arial" w:cs="Arial"/>
                <w:color w:val="auto"/>
                <w:sz w:val="16"/>
                <w:szCs w:val="16"/>
                <w:lang w:eastAsia="en-US"/>
              </w:rPr>
              <w:t xml:space="preserve"> </w:t>
            </w:r>
          </w:p>
          <w:p w14:paraId="5BE1F5D2" w14:textId="04CB63D9" w:rsidR="00AF028B" w:rsidRDefault="006A2E75" w:rsidP="007F52D2">
            <w:pPr>
              <w:pStyle w:val="Default"/>
              <w:rPr>
                <w:rFonts w:ascii="Arial" w:hAnsi="Arial" w:cs="Arial"/>
                <w:sz w:val="16"/>
                <w:szCs w:val="16"/>
              </w:rPr>
            </w:pPr>
            <w:r>
              <w:rPr>
                <w:rFonts w:ascii="Arial" w:hAnsi="Arial" w:cs="Arial"/>
                <w:sz w:val="16"/>
                <w:szCs w:val="16"/>
              </w:rPr>
              <w:t>s</w:t>
            </w:r>
            <w:r w:rsidR="006416C7">
              <w:rPr>
                <w:rFonts w:ascii="Arial" w:hAnsi="Arial" w:cs="Arial"/>
                <w:sz w:val="16"/>
                <w:szCs w:val="16"/>
              </w:rPr>
              <w:t>ince MoFuSS is a dynamic module overtime</w:t>
            </w:r>
            <w:r w:rsidR="00521AF0">
              <w:rPr>
                <w:rFonts w:ascii="Arial" w:hAnsi="Arial" w:cs="Arial"/>
                <w:sz w:val="16"/>
                <w:szCs w:val="16"/>
              </w:rPr>
              <w:t>, m</w:t>
            </w:r>
            <w:r w:rsidR="00AF028B">
              <w:rPr>
                <w:rFonts w:ascii="Arial" w:hAnsi="Arial" w:cs="Arial"/>
                <w:sz w:val="16"/>
                <w:szCs w:val="16"/>
              </w:rPr>
              <w:t>ay be good to consider</w:t>
            </w:r>
            <w:r w:rsidR="00521AF0">
              <w:rPr>
                <w:rFonts w:ascii="Arial" w:hAnsi="Arial" w:cs="Arial"/>
                <w:sz w:val="16"/>
                <w:szCs w:val="16"/>
              </w:rPr>
              <w:t xml:space="preserve"> </w:t>
            </w:r>
            <w:r w:rsidR="001B238B">
              <w:rPr>
                <w:rFonts w:ascii="Arial" w:hAnsi="Arial" w:cs="Arial"/>
                <w:sz w:val="16"/>
                <w:szCs w:val="16"/>
              </w:rPr>
              <w:t>a</w:t>
            </w:r>
            <w:r w:rsidR="00AF028B">
              <w:rPr>
                <w:rFonts w:ascii="Arial" w:hAnsi="Arial" w:cs="Arial"/>
                <w:sz w:val="16"/>
                <w:szCs w:val="16"/>
              </w:rPr>
              <w:t xml:space="preserve"> </w:t>
            </w:r>
            <w:r w:rsidR="006416C7">
              <w:rPr>
                <w:rFonts w:ascii="Arial" w:hAnsi="Arial" w:cs="Arial"/>
                <w:sz w:val="16"/>
                <w:szCs w:val="16"/>
              </w:rPr>
              <w:t xml:space="preserve">literature </w:t>
            </w:r>
            <w:r w:rsidR="001B238B">
              <w:rPr>
                <w:rFonts w:ascii="Arial" w:hAnsi="Arial" w:cs="Arial"/>
                <w:sz w:val="16"/>
                <w:szCs w:val="16"/>
              </w:rPr>
              <w:t xml:space="preserve">review </w:t>
            </w:r>
            <w:r w:rsidR="006416C7">
              <w:rPr>
                <w:rFonts w:ascii="Arial" w:hAnsi="Arial" w:cs="Arial"/>
                <w:sz w:val="16"/>
                <w:szCs w:val="16"/>
              </w:rPr>
              <w:t>and provide a snapshot of the different systemic effect including</w:t>
            </w:r>
            <w:r w:rsidR="00273F0B">
              <w:rPr>
                <w:rFonts w:ascii="Arial" w:hAnsi="Arial" w:cs="Arial"/>
                <w:sz w:val="16"/>
                <w:szCs w:val="16"/>
              </w:rPr>
              <w:t xml:space="preserve">, if possible, </w:t>
            </w:r>
            <w:r w:rsidR="008E042B">
              <w:rPr>
                <w:rFonts w:ascii="Arial" w:hAnsi="Arial" w:cs="Arial"/>
                <w:sz w:val="16"/>
                <w:szCs w:val="16"/>
              </w:rPr>
              <w:t>of</w:t>
            </w:r>
            <w:r w:rsidR="006416C7">
              <w:rPr>
                <w:rFonts w:ascii="Arial" w:hAnsi="Arial" w:cs="Arial"/>
                <w:sz w:val="16"/>
                <w:szCs w:val="16"/>
              </w:rPr>
              <w:t xml:space="preserve"> the sequestration </w:t>
            </w:r>
            <w:r w:rsidR="001B238B">
              <w:rPr>
                <w:rFonts w:ascii="Arial" w:hAnsi="Arial" w:cs="Arial"/>
                <w:sz w:val="16"/>
                <w:szCs w:val="16"/>
              </w:rPr>
              <w:t xml:space="preserve">– and give an indication of the net effect </w:t>
            </w:r>
            <w:r w:rsidR="003E60AF">
              <w:rPr>
                <w:rFonts w:ascii="Arial" w:hAnsi="Arial" w:cs="Arial"/>
                <w:sz w:val="16"/>
                <w:szCs w:val="16"/>
              </w:rPr>
              <w:t>due to wood fuel use for cooking</w:t>
            </w:r>
            <w:r w:rsidR="008E042B">
              <w:rPr>
                <w:rFonts w:ascii="Arial" w:hAnsi="Arial" w:cs="Arial"/>
                <w:sz w:val="16"/>
                <w:szCs w:val="16"/>
              </w:rPr>
              <w:t>.</w:t>
            </w:r>
          </w:p>
          <w:p w14:paraId="52CA6DA1" w14:textId="77777777" w:rsidR="004A024E" w:rsidRDefault="004A024E" w:rsidP="007F52D2">
            <w:pPr>
              <w:pStyle w:val="Default"/>
              <w:rPr>
                <w:rFonts w:ascii="Arial" w:hAnsi="Arial" w:cs="Arial"/>
                <w:sz w:val="16"/>
                <w:szCs w:val="16"/>
              </w:rPr>
            </w:pPr>
          </w:p>
          <w:p w14:paraId="536A9F14" w14:textId="77777777" w:rsidR="00AF028B" w:rsidRPr="00183F63" w:rsidRDefault="00AF028B" w:rsidP="007F52D2">
            <w:pPr>
              <w:pStyle w:val="Default"/>
              <w:rPr>
                <w:rFonts w:ascii="Arial" w:hAnsi="Arial" w:cs="Arial"/>
                <w:sz w:val="16"/>
                <w:szCs w:val="16"/>
              </w:rPr>
            </w:pPr>
          </w:p>
          <w:p w14:paraId="357E6653" w14:textId="294DEAE3" w:rsidR="00312698" w:rsidRPr="00183F63" w:rsidRDefault="00312698" w:rsidP="00DF04D8">
            <w:pPr>
              <w:pStyle w:val="Default"/>
              <w:rPr>
                <w:rFonts w:ascii="Arial" w:hAnsi="Arial" w:cs="Arial"/>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4D2842D3" w14:textId="77777777" w:rsidR="00312698" w:rsidRPr="00183F63" w:rsidRDefault="00312698" w:rsidP="00150408">
            <w:pPr>
              <w:keepLines/>
              <w:spacing w:before="40" w:after="40" w:line="190" w:lineRule="exact"/>
              <w:jc w:val="left"/>
              <w:rPr>
                <w:sz w:val="16"/>
                <w:szCs w:val="16"/>
              </w:rPr>
            </w:pPr>
          </w:p>
        </w:tc>
      </w:tr>
      <w:tr w:rsidR="00312698" w:rsidRPr="00183F63" w14:paraId="2195D2C7" w14:textId="77777777" w:rsidTr="00312698">
        <w:trPr>
          <w:cantSplit/>
          <w:jc w:val="center"/>
        </w:trPr>
        <w:tc>
          <w:tcPr>
            <w:tcW w:w="418" w:type="dxa"/>
            <w:tcBorders>
              <w:top w:val="single" w:sz="6" w:space="0" w:color="auto"/>
              <w:left w:val="single" w:sz="6" w:space="0" w:color="auto"/>
              <w:bottom w:val="single" w:sz="6" w:space="0" w:color="auto"/>
              <w:right w:val="single" w:sz="6" w:space="0" w:color="auto"/>
            </w:tcBorders>
          </w:tcPr>
          <w:p w14:paraId="6B68FEF6" w14:textId="0E954DD7" w:rsidR="00312698" w:rsidRPr="00183F63" w:rsidRDefault="00D81864" w:rsidP="00256488">
            <w:pPr>
              <w:keepLines/>
              <w:spacing w:before="40" w:after="40" w:line="190" w:lineRule="exact"/>
              <w:jc w:val="left"/>
              <w:rPr>
                <w:sz w:val="16"/>
                <w:szCs w:val="16"/>
              </w:rPr>
            </w:pPr>
            <w:r>
              <w:rPr>
                <w:sz w:val="16"/>
                <w:szCs w:val="16"/>
              </w:rPr>
              <w:lastRenderedPageBreak/>
              <w:t>2.</w:t>
            </w:r>
          </w:p>
        </w:tc>
        <w:tc>
          <w:tcPr>
            <w:tcW w:w="1330" w:type="dxa"/>
            <w:tcBorders>
              <w:top w:val="single" w:sz="6" w:space="0" w:color="auto"/>
              <w:left w:val="single" w:sz="6" w:space="0" w:color="auto"/>
              <w:bottom w:val="single" w:sz="6" w:space="0" w:color="auto"/>
              <w:right w:val="single" w:sz="6" w:space="0" w:color="auto"/>
            </w:tcBorders>
          </w:tcPr>
          <w:p w14:paraId="360A199B" w14:textId="241BB89E" w:rsidR="00312698" w:rsidRPr="00183F63" w:rsidRDefault="00312698" w:rsidP="009D4D33">
            <w:pPr>
              <w:keepLines/>
              <w:spacing w:before="40" w:after="40" w:line="190" w:lineRule="exact"/>
              <w:jc w:val="left"/>
              <w:rPr>
                <w:sz w:val="16"/>
                <w:szCs w:val="16"/>
              </w:rPr>
            </w:pPr>
            <w:r w:rsidRPr="00183F63">
              <w:rPr>
                <w:sz w:val="16"/>
                <w:szCs w:val="16"/>
              </w:rPr>
              <w:t>Para 37</w:t>
            </w:r>
          </w:p>
        </w:tc>
        <w:tc>
          <w:tcPr>
            <w:tcW w:w="992" w:type="dxa"/>
            <w:tcBorders>
              <w:top w:val="single" w:sz="6" w:space="0" w:color="auto"/>
              <w:left w:val="single" w:sz="6" w:space="0" w:color="auto"/>
              <w:bottom w:val="single" w:sz="6" w:space="0" w:color="auto"/>
              <w:right w:val="single" w:sz="6" w:space="0" w:color="auto"/>
            </w:tcBorders>
          </w:tcPr>
          <w:p w14:paraId="596C00CA" w14:textId="034C4F16" w:rsidR="00312698" w:rsidRPr="00183F63" w:rsidRDefault="00312698" w:rsidP="00256488">
            <w:pPr>
              <w:keepLines/>
              <w:spacing w:before="40" w:after="40" w:line="190" w:lineRule="exact"/>
              <w:jc w:val="left"/>
              <w:rPr>
                <w:sz w:val="16"/>
                <w:szCs w:val="16"/>
              </w:rPr>
            </w:pPr>
            <w:proofErr w:type="spellStart"/>
            <w:r w:rsidRPr="00183F63">
              <w:rPr>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1F672644" w14:textId="1CDE2BC7" w:rsidR="00312698" w:rsidRPr="00183F63" w:rsidRDefault="00E36AD9" w:rsidP="00256488">
            <w:pPr>
              <w:keepLines/>
              <w:spacing w:before="40" w:after="40" w:line="190" w:lineRule="exact"/>
              <w:jc w:val="left"/>
              <w:rPr>
                <w:sz w:val="16"/>
                <w:szCs w:val="16"/>
              </w:rPr>
            </w:pPr>
            <w:r>
              <w:rPr>
                <w:sz w:val="16"/>
                <w:szCs w:val="16"/>
              </w:rPr>
              <w:t xml:space="preserve">Stacking </w:t>
            </w:r>
            <w:r w:rsidR="0027161D">
              <w:rPr>
                <w:sz w:val="16"/>
                <w:szCs w:val="16"/>
              </w:rPr>
              <w:t xml:space="preserve">is understood to influence </w:t>
            </w:r>
            <w:r w:rsidR="00DC7D97">
              <w:rPr>
                <w:sz w:val="16"/>
                <w:szCs w:val="16"/>
              </w:rPr>
              <w:t xml:space="preserve">the final estimates of firewood consumption significantly </w:t>
            </w:r>
            <w:r w:rsidR="0089349E">
              <w:rPr>
                <w:sz w:val="16"/>
                <w:szCs w:val="16"/>
              </w:rPr>
              <w:t xml:space="preserve">and therefore the </w:t>
            </w:r>
            <w:r w:rsidR="00621C98">
              <w:rPr>
                <w:sz w:val="16"/>
                <w:szCs w:val="16"/>
              </w:rPr>
              <w:t>fNRB estimates</w:t>
            </w:r>
            <w:r w:rsidR="00DF3FD0">
              <w:rPr>
                <w:sz w:val="16"/>
                <w:szCs w:val="16"/>
              </w:rPr>
              <w:t xml:space="preserve">. </w:t>
            </w:r>
          </w:p>
        </w:tc>
        <w:tc>
          <w:tcPr>
            <w:tcW w:w="4253" w:type="dxa"/>
            <w:tcBorders>
              <w:top w:val="single" w:sz="6" w:space="0" w:color="auto"/>
              <w:left w:val="single" w:sz="6" w:space="0" w:color="auto"/>
              <w:bottom w:val="single" w:sz="6" w:space="0" w:color="auto"/>
              <w:right w:val="single" w:sz="6" w:space="0" w:color="auto"/>
            </w:tcBorders>
          </w:tcPr>
          <w:p w14:paraId="52D7D6AA" w14:textId="77777777" w:rsidR="00312698" w:rsidRDefault="00B650DF" w:rsidP="00256488">
            <w:pPr>
              <w:keepLines/>
              <w:spacing w:before="40" w:after="40" w:line="190" w:lineRule="exact"/>
              <w:jc w:val="left"/>
              <w:rPr>
                <w:sz w:val="16"/>
                <w:szCs w:val="16"/>
              </w:rPr>
            </w:pPr>
            <w:r>
              <w:rPr>
                <w:sz w:val="16"/>
                <w:szCs w:val="16"/>
              </w:rPr>
              <w:t>We previously</w:t>
            </w:r>
            <w:r w:rsidR="00553E87">
              <w:rPr>
                <w:sz w:val="16"/>
                <w:szCs w:val="16"/>
              </w:rPr>
              <w:t xml:space="preserve"> suggested </w:t>
            </w:r>
            <w:r w:rsidR="00E55970">
              <w:rPr>
                <w:sz w:val="16"/>
                <w:szCs w:val="16"/>
              </w:rPr>
              <w:t>modelling</w:t>
            </w:r>
            <w:r w:rsidR="00E55970" w:rsidRPr="00E55970">
              <w:rPr>
                <w:sz w:val="16"/>
                <w:szCs w:val="16"/>
              </w:rPr>
              <w:t xml:space="preserve"> scenarios for countries with reliable stove and fuel stacking data and compare the differences. If inclusion of stacking is shown to have significant effect, then the methodology adopted should allow project developers to include evidence on stacking in their project areas, and then adjust the fNRB by an appropriate factor.</w:t>
            </w:r>
          </w:p>
          <w:p w14:paraId="5333D339" w14:textId="5D60BFCD" w:rsidR="001A3D7A" w:rsidRPr="00183F63" w:rsidRDefault="001A3D7A" w:rsidP="00256488">
            <w:pPr>
              <w:keepLines/>
              <w:spacing w:before="40" w:after="40" w:line="190" w:lineRule="exact"/>
              <w:jc w:val="left"/>
              <w:rPr>
                <w:sz w:val="16"/>
                <w:szCs w:val="16"/>
              </w:rPr>
            </w:pPr>
            <w:r>
              <w:rPr>
                <w:sz w:val="16"/>
                <w:szCs w:val="16"/>
              </w:rPr>
              <w:t xml:space="preserve">Something similar to the Appendix 2 </w:t>
            </w:r>
            <w:r w:rsidRPr="001A3D7A">
              <w:rPr>
                <w:sz w:val="16"/>
                <w:szCs w:val="16"/>
              </w:rPr>
              <w:t>on why deforestation module was not used e.g. Ghana</w:t>
            </w:r>
            <w:r>
              <w:rPr>
                <w:sz w:val="16"/>
                <w:szCs w:val="16"/>
              </w:rPr>
              <w:t xml:space="preserve">. </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063B075B" w14:textId="77777777" w:rsidR="00312698" w:rsidRPr="00183F63" w:rsidRDefault="00312698" w:rsidP="00256488">
            <w:pPr>
              <w:keepLines/>
              <w:spacing w:before="40" w:after="40" w:line="190" w:lineRule="exact"/>
              <w:jc w:val="left"/>
              <w:rPr>
                <w:sz w:val="16"/>
                <w:szCs w:val="16"/>
              </w:rPr>
            </w:pPr>
          </w:p>
        </w:tc>
      </w:tr>
      <w:tr w:rsidR="00312698" w:rsidRPr="00183F63" w14:paraId="34BCF3A9" w14:textId="77777777" w:rsidTr="00312698">
        <w:trPr>
          <w:cantSplit/>
          <w:jc w:val="center"/>
        </w:trPr>
        <w:tc>
          <w:tcPr>
            <w:tcW w:w="418" w:type="dxa"/>
            <w:tcBorders>
              <w:top w:val="single" w:sz="6" w:space="0" w:color="auto"/>
              <w:left w:val="single" w:sz="6" w:space="0" w:color="auto"/>
              <w:bottom w:val="single" w:sz="6" w:space="0" w:color="auto"/>
              <w:right w:val="single" w:sz="6" w:space="0" w:color="auto"/>
            </w:tcBorders>
          </w:tcPr>
          <w:p w14:paraId="43CCF5EB" w14:textId="61B06793" w:rsidR="00312698" w:rsidRPr="00183F63" w:rsidRDefault="0026265C" w:rsidP="00256488">
            <w:pPr>
              <w:keepLines/>
              <w:spacing w:before="40" w:after="40" w:line="190" w:lineRule="exact"/>
              <w:jc w:val="left"/>
              <w:rPr>
                <w:sz w:val="16"/>
                <w:szCs w:val="16"/>
              </w:rPr>
            </w:pPr>
            <w:r>
              <w:rPr>
                <w:sz w:val="16"/>
                <w:szCs w:val="16"/>
              </w:rPr>
              <w:t>3</w:t>
            </w:r>
          </w:p>
        </w:tc>
        <w:tc>
          <w:tcPr>
            <w:tcW w:w="1330" w:type="dxa"/>
            <w:tcBorders>
              <w:top w:val="single" w:sz="6" w:space="0" w:color="auto"/>
              <w:left w:val="single" w:sz="6" w:space="0" w:color="auto"/>
              <w:bottom w:val="single" w:sz="6" w:space="0" w:color="auto"/>
              <w:right w:val="single" w:sz="6" w:space="0" w:color="auto"/>
            </w:tcBorders>
          </w:tcPr>
          <w:p w14:paraId="29030480" w14:textId="5686411E" w:rsidR="00312698" w:rsidRPr="00183F63" w:rsidRDefault="00312698" w:rsidP="009D4D33">
            <w:pPr>
              <w:keepLines/>
              <w:spacing w:before="40" w:after="40" w:line="190" w:lineRule="exact"/>
              <w:jc w:val="left"/>
              <w:rPr>
                <w:sz w:val="16"/>
                <w:szCs w:val="16"/>
              </w:rPr>
            </w:pPr>
            <w:r w:rsidRPr="00183F63">
              <w:rPr>
                <w:sz w:val="16"/>
                <w:szCs w:val="16"/>
              </w:rPr>
              <w:t xml:space="preserve">Para 39 </w:t>
            </w:r>
          </w:p>
        </w:tc>
        <w:tc>
          <w:tcPr>
            <w:tcW w:w="992" w:type="dxa"/>
            <w:tcBorders>
              <w:top w:val="single" w:sz="6" w:space="0" w:color="auto"/>
              <w:left w:val="single" w:sz="6" w:space="0" w:color="auto"/>
              <w:bottom w:val="single" w:sz="6" w:space="0" w:color="auto"/>
              <w:right w:val="single" w:sz="6" w:space="0" w:color="auto"/>
            </w:tcBorders>
          </w:tcPr>
          <w:p w14:paraId="1DA40549" w14:textId="0479DB8B" w:rsidR="00312698" w:rsidRPr="00183F63" w:rsidRDefault="001B10F9" w:rsidP="00256488">
            <w:pPr>
              <w:keepLines/>
              <w:spacing w:before="40" w:after="40" w:line="190" w:lineRule="exact"/>
              <w:jc w:val="left"/>
              <w:rPr>
                <w:sz w:val="16"/>
                <w:szCs w:val="16"/>
              </w:rPr>
            </w:pPr>
            <w:proofErr w:type="spellStart"/>
            <w:r>
              <w:rPr>
                <w:sz w:val="16"/>
                <w:szCs w:val="16"/>
              </w:rPr>
              <w:t>Te</w:t>
            </w:r>
            <w:proofErr w:type="spellEnd"/>
            <w:r>
              <w:rPr>
                <w:sz w:val="16"/>
                <w:szCs w:val="16"/>
              </w:rPr>
              <w:t xml:space="preserve"> </w:t>
            </w:r>
          </w:p>
        </w:tc>
        <w:tc>
          <w:tcPr>
            <w:tcW w:w="4762" w:type="dxa"/>
            <w:tcBorders>
              <w:top w:val="single" w:sz="6" w:space="0" w:color="auto"/>
              <w:left w:val="single" w:sz="6" w:space="0" w:color="auto"/>
              <w:bottom w:val="single" w:sz="6" w:space="0" w:color="auto"/>
              <w:right w:val="single" w:sz="6" w:space="0" w:color="auto"/>
            </w:tcBorders>
          </w:tcPr>
          <w:p w14:paraId="5413BC9E" w14:textId="36B45E58" w:rsidR="006F7653" w:rsidRDefault="00C2511C" w:rsidP="00256488">
            <w:pPr>
              <w:keepLines/>
              <w:spacing w:before="40" w:after="40" w:line="190" w:lineRule="exact"/>
              <w:jc w:val="left"/>
              <w:rPr>
                <w:sz w:val="16"/>
                <w:szCs w:val="16"/>
              </w:rPr>
            </w:pPr>
            <w:r>
              <w:rPr>
                <w:sz w:val="16"/>
                <w:szCs w:val="16"/>
              </w:rPr>
              <w:t xml:space="preserve">Limited </w:t>
            </w:r>
            <w:r w:rsidR="00312698" w:rsidRPr="00183F63">
              <w:rPr>
                <w:sz w:val="16"/>
                <w:szCs w:val="16"/>
              </w:rPr>
              <w:t xml:space="preserve">data on the non-residential demand, </w:t>
            </w:r>
            <w:r w:rsidR="001A3E3A">
              <w:rPr>
                <w:sz w:val="16"/>
                <w:szCs w:val="16"/>
              </w:rPr>
              <w:t>and also</w:t>
            </w:r>
            <w:r w:rsidR="00020ABE">
              <w:rPr>
                <w:sz w:val="16"/>
                <w:szCs w:val="16"/>
              </w:rPr>
              <w:t xml:space="preserve"> highly varying across the four countries. </w:t>
            </w:r>
            <w:r w:rsidR="007267EF">
              <w:rPr>
                <w:sz w:val="16"/>
                <w:szCs w:val="16"/>
              </w:rPr>
              <w:t xml:space="preserve">It may be that in some of the countries, non-residential demand may be higher </w:t>
            </w:r>
            <w:r w:rsidR="0071473B">
              <w:rPr>
                <w:sz w:val="16"/>
                <w:szCs w:val="16"/>
              </w:rPr>
              <w:t xml:space="preserve">compared to residential demand </w:t>
            </w:r>
            <w:r w:rsidR="000F3038">
              <w:rPr>
                <w:sz w:val="16"/>
                <w:szCs w:val="16"/>
              </w:rPr>
              <w:t>e.g.</w:t>
            </w:r>
            <w:r w:rsidR="0071473B">
              <w:rPr>
                <w:sz w:val="16"/>
                <w:szCs w:val="16"/>
              </w:rPr>
              <w:t xml:space="preserve"> small islands, tourist destinations. </w:t>
            </w:r>
          </w:p>
          <w:p w14:paraId="386B71B3" w14:textId="1AA00AE7" w:rsidR="006F7653" w:rsidRPr="00183F63" w:rsidRDefault="00C2511C" w:rsidP="00256488">
            <w:pPr>
              <w:keepLines/>
              <w:spacing w:before="40" w:after="40" w:line="190" w:lineRule="exact"/>
              <w:jc w:val="left"/>
              <w:rPr>
                <w:sz w:val="16"/>
                <w:szCs w:val="16"/>
              </w:rPr>
            </w:pPr>
            <w:r w:rsidRPr="00183F63">
              <w:rPr>
                <w:sz w:val="16"/>
                <w:szCs w:val="16"/>
              </w:rPr>
              <w:t>Also,</w:t>
            </w:r>
            <w:r w:rsidR="0090086E" w:rsidRPr="00183F63">
              <w:rPr>
                <w:sz w:val="16"/>
                <w:szCs w:val="16"/>
              </w:rPr>
              <w:t xml:space="preserve"> </w:t>
            </w:r>
            <w:r w:rsidR="0090086E">
              <w:rPr>
                <w:sz w:val="16"/>
                <w:szCs w:val="16"/>
              </w:rPr>
              <w:t>in</w:t>
            </w:r>
            <w:r w:rsidR="0090086E" w:rsidRPr="00183F63">
              <w:rPr>
                <w:sz w:val="16"/>
                <w:szCs w:val="16"/>
              </w:rPr>
              <w:t xml:space="preserve">sufficient data on use of biomass for the non-energy purposes – that are sourced from the tree plantation areas which are mostly protected. </w:t>
            </w:r>
          </w:p>
        </w:tc>
        <w:tc>
          <w:tcPr>
            <w:tcW w:w="4253" w:type="dxa"/>
            <w:tcBorders>
              <w:top w:val="single" w:sz="6" w:space="0" w:color="auto"/>
              <w:left w:val="single" w:sz="6" w:space="0" w:color="auto"/>
              <w:bottom w:val="single" w:sz="6" w:space="0" w:color="auto"/>
              <w:right w:val="single" w:sz="6" w:space="0" w:color="auto"/>
            </w:tcBorders>
          </w:tcPr>
          <w:p w14:paraId="0CF5B201" w14:textId="286FE674" w:rsidR="00312698" w:rsidRPr="00183F63" w:rsidRDefault="001A3D7A" w:rsidP="00256488">
            <w:pPr>
              <w:keepLines/>
              <w:spacing w:before="40" w:after="40" w:line="190" w:lineRule="exact"/>
              <w:jc w:val="left"/>
              <w:rPr>
                <w:sz w:val="16"/>
                <w:szCs w:val="16"/>
              </w:rPr>
            </w:pPr>
            <w:r w:rsidRPr="00183F63">
              <w:rPr>
                <w:sz w:val="16"/>
                <w:szCs w:val="16"/>
              </w:rPr>
              <w:t xml:space="preserve">Given that there is need for </w:t>
            </w:r>
            <w:r>
              <w:rPr>
                <w:sz w:val="16"/>
                <w:szCs w:val="16"/>
              </w:rPr>
              <w:t xml:space="preserve">robust data and accurate maps on demand and use of woodfuel/wood for </w:t>
            </w:r>
            <w:r w:rsidRPr="00183F63">
              <w:rPr>
                <w:sz w:val="16"/>
                <w:szCs w:val="16"/>
              </w:rPr>
              <w:t xml:space="preserve">non-residential </w:t>
            </w:r>
            <w:r>
              <w:rPr>
                <w:sz w:val="16"/>
                <w:szCs w:val="16"/>
              </w:rPr>
              <w:t>as well as for non-energy purposes, c</w:t>
            </w:r>
            <w:r w:rsidR="008172BE">
              <w:rPr>
                <w:sz w:val="16"/>
                <w:szCs w:val="16"/>
              </w:rPr>
              <w:t xml:space="preserve">arry out </w:t>
            </w:r>
            <w:r w:rsidR="00E9194F">
              <w:rPr>
                <w:sz w:val="16"/>
                <w:szCs w:val="16"/>
              </w:rPr>
              <w:t xml:space="preserve">data collection for </w:t>
            </w:r>
            <w:r w:rsidR="000F3038">
              <w:rPr>
                <w:sz w:val="16"/>
                <w:szCs w:val="16"/>
              </w:rPr>
              <w:t>some sample locations and countries</w:t>
            </w:r>
            <w:r w:rsidR="0058667D">
              <w:rPr>
                <w:sz w:val="16"/>
                <w:szCs w:val="16"/>
              </w:rPr>
              <w:t xml:space="preserve">. </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48BA78E6" w14:textId="77777777" w:rsidR="00312698" w:rsidRPr="00183F63" w:rsidRDefault="00312698" w:rsidP="00256488">
            <w:pPr>
              <w:keepLines/>
              <w:spacing w:before="40" w:after="40" w:line="190" w:lineRule="exact"/>
              <w:jc w:val="left"/>
              <w:rPr>
                <w:sz w:val="16"/>
                <w:szCs w:val="16"/>
              </w:rPr>
            </w:pPr>
          </w:p>
        </w:tc>
      </w:tr>
      <w:tr w:rsidR="00312698" w:rsidRPr="00183F63" w14:paraId="062433BB" w14:textId="77777777" w:rsidTr="00312698">
        <w:trPr>
          <w:cantSplit/>
          <w:jc w:val="center"/>
        </w:trPr>
        <w:tc>
          <w:tcPr>
            <w:tcW w:w="418" w:type="dxa"/>
            <w:tcBorders>
              <w:top w:val="single" w:sz="6" w:space="0" w:color="auto"/>
              <w:left w:val="single" w:sz="6" w:space="0" w:color="auto"/>
              <w:bottom w:val="single" w:sz="6" w:space="0" w:color="auto"/>
              <w:right w:val="single" w:sz="6" w:space="0" w:color="auto"/>
            </w:tcBorders>
          </w:tcPr>
          <w:p w14:paraId="6130FEFB" w14:textId="47824F2A" w:rsidR="00312698" w:rsidRPr="00183F63" w:rsidRDefault="0026265C" w:rsidP="00256488">
            <w:pPr>
              <w:keepLines/>
              <w:spacing w:before="40" w:after="40" w:line="190" w:lineRule="exact"/>
              <w:jc w:val="left"/>
              <w:rPr>
                <w:sz w:val="16"/>
                <w:szCs w:val="16"/>
              </w:rPr>
            </w:pPr>
            <w:r>
              <w:rPr>
                <w:sz w:val="16"/>
                <w:szCs w:val="16"/>
              </w:rPr>
              <w:t>4</w:t>
            </w:r>
          </w:p>
        </w:tc>
        <w:tc>
          <w:tcPr>
            <w:tcW w:w="1330" w:type="dxa"/>
            <w:tcBorders>
              <w:top w:val="single" w:sz="6" w:space="0" w:color="auto"/>
              <w:left w:val="single" w:sz="6" w:space="0" w:color="auto"/>
              <w:bottom w:val="single" w:sz="6" w:space="0" w:color="auto"/>
              <w:right w:val="single" w:sz="6" w:space="0" w:color="auto"/>
            </w:tcBorders>
          </w:tcPr>
          <w:p w14:paraId="2FB2CA83" w14:textId="419DE7A3" w:rsidR="00312698" w:rsidRPr="00183F63" w:rsidRDefault="00312698" w:rsidP="009D4D33">
            <w:pPr>
              <w:keepLines/>
              <w:spacing w:before="40" w:after="40" w:line="190" w:lineRule="exact"/>
              <w:jc w:val="left"/>
              <w:rPr>
                <w:sz w:val="16"/>
                <w:szCs w:val="16"/>
              </w:rPr>
            </w:pPr>
            <w:r w:rsidRPr="00183F63">
              <w:rPr>
                <w:sz w:val="16"/>
                <w:szCs w:val="16"/>
              </w:rPr>
              <w:t>Table 4</w:t>
            </w:r>
          </w:p>
        </w:tc>
        <w:tc>
          <w:tcPr>
            <w:tcW w:w="992" w:type="dxa"/>
            <w:tcBorders>
              <w:top w:val="single" w:sz="6" w:space="0" w:color="auto"/>
              <w:left w:val="single" w:sz="6" w:space="0" w:color="auto"/>
              <w:bottom w:val="single" w:sz="6" w:space="0" w:color="auto"/>
              <w:right w:val="single" w:sz="6" w:space="0" w:color="auto"/>
            </w:tcBorders>
          </w:tcPr>
          <w:p w14:paraId="6DB4D8E7" w14:textId="4CB54DED" w:rsidR="00312698" w:rsidRPr="00183F63" w:rsidRDefault="001A3D7A" w:rsidP="00256488">
            <w:pPr>
              <w:keepLines/>
              <w:spacing w:before="40" w:after="40" w:line="190" w:lineRule="exact"/>
              <w:jc w:val="left"/>
              <w:rPr>
                <w:sz w:val="16"/>
                <w:szCs w:val="16"/>
              </w:rPr>
            </w:pPr>
            <w:r>
              <w:rPr>
                <w:sz w:val="16"/>
                <w:szCs w:val="16"/>
              </w:rPr>
              <w:t xml:space="preserve">Ge </w:t>
            </w:r>
          </w:p>
        </w:tc>
        <w:tc>
          <w:tcPr>
            <w:tcW w:w="4762" w:type="dxa"/>
            <w:tcBorders>
              <w:top w:val="single" w:sz="6" w:space="0" w:color="auto"/>
              <w:left w:val="single" w:sz="6" w:space="0" w:color="auto"/>
              <w:bottom w:val="single" w:sz="6" w:space="0" w:color="auto"/>
              <w:right w:val="single" w:sz="6" w:space="0" w:color="auto"/>
            </w:tcBorders>
          </w:tcPr>
          <w:p w14:paraId="4DF2014A" w14:textId="71D79BC3" w:rsidR="00312698" w:rsidRPr="00183F63" w:rsidRDefault="00312698" w:rsidP="00256488">
            <w:pPr>
              <w:keepLines/>
              <w:spacing w:before="40" w:after="40" w:line="190" w:lineRule="exact"/>
              <w:jc w:val="left"/>
              <w:rPr>
                <w:sz w:val="16"/>
                <w:szCs w:val="16"/>
              </w:rPr>
            </w:pPr>
            <w:r w:rsidRPr="00183F63">
              <w:rPr>
                <w:sz w:val="16"/>
                <w:szCs w:val="16"/>
              </w:rPr>
              <w:t xml:space="preserve">Are the </w:t>
            </w:r>
            <w:r w:rsidR="00F47572">
              <w:rPr>
                <w:sz w:val="16"/>
                <w:szCs w:val="16"/>
              </w:rPr>
              <w:t xml:space="preserve">woodfuel </w:t>
            </w:r>
            <w:r w:rsidRPr="00183F63">
              <w:rPr>
                <w:sz w:val="16"/>
                <w:szCs w:val="16"/>
              </w:rPr>
              <w:t>values used for assessment correct, for South Asia</w:t>
            </w:r>
            <w:r w:rsidR="00366989">
              <w:rPr>
                <w:sz w:val="16"/>
                <w:szCs w:val="16"/>
              </w:rPr>
              <w:t xml:space="preserve"> and SSA,</w:t>
            </w:r>
            <w:r w:rsidRPr="00183F63">
              <w:rPr>
                <w:sz w:val="16"/>
                <w:szCs w:val="16"/>
              </w:rPr>
              <w:t xml:space="preserve"> its 0.4 </w:t>
            </w:r>
            <w:r w:rsidR="003A438F">
              <w:rPr>
                <w:sz w:val="16"/>
                <w:szCs w:val="16"/>
              </w:rPr>
              <w:t xml:space="preserve">ODT/person-year </w:t>
            </w:r>
            <w:r w:rsidRPr="00183F63">
              <w:rPr>
                <w:sz w:val="16"/>
                <w:szCs w:val="16"/>
              </w:rPr>
              <w:t xml:space="preserve">which is </w:t>
            </w:r>
            <w:r w:rsidR="007803EF">
              <w:rPr>
                <w:sz w:val="16"/>
                <w:szCs w:val="16"/>
              </w:rPr>
              <w:t xml:space="preserve">different to </w:t>
            </w:r>
            <w:r w:rsidR="00D701E4">
              <w:rPr>
                <w:sz w:val="16"/>
                <w:szCs w:val="16"/>
              </w:rPr>
              <w:t>Table 3 based on global datasets from CDM project</w:t>
            </w:r>
            <w:r w:rsidR="0093437E">
              <w:rPr>
                <w:sz w:val="16"/>
                <w:szCs w:val="16"/>
              </w:rPr>
              <w:t xml:space="preserve">s and UN/DHS </w:t>
            </w:r>
            <w:r w:rsidR="00DE56CB">
              <w:rPr>
                <w:sz w:val="16"/>
                <w:szCs w:val="16"/>
              </w:rPr>
              <w:t>value. Is the UN value ove</w:t>
            </w:r>
            <w:r w:rsidR="00AA26E8">
              <w:rPr>
                <w:sz w:val="16"/>
                <w:szCs w:val="16"/>
              </w:rPr>
              <w:t xml:space="preserve">n </w:t>
            </w:r>
            <w:r w:rsidR="00DE56CB">
              <w:rPr>
                <w:sz w:val="16"/>
                <w:szCs w:val="16"/>
              </w:rPr>
              <w:t xml:space="preserve">dry </w:t>
            </w:r>
            <w:r w:rsidR="009D4D33">
              <w:rPr>
                <w:sz w:val="16"/>
                <w:szCs w:val="16"/>
              </w:rPr>
              <w:t>weight?</w:t>
            </w:r>
          </w:p>
        </w:tc>
        <w:tc>
          <w:tcPr>
            <w:tcW w:w="4253" w:type="dxa"/>
            <w:tcBorders>
              <w:top w:val="single" w:sz="6" w:space="0" w:color="auto"/>
              <w:left w:val="single" w:sz="6" w:space="0" w:color="auto"/>
              <w:bottom w:val="single" w:sz="6" w:space="0" w:color="auto"/>
              <w:right w:val="single" w:sz="6" w:space="0" w:color="auto"/>
            </w:tcBorders>
          </w:tcPr>
          <w:p w14:paraId="582858F6" w14:textId="6939AD9C" w:rsidR="00312698" w:rsidRPr="00183F63" w:rsidRDefault="00EE3C4E" w:rsidP="00256488">
            <w:pPr>
              <w:keepLines/>
              <w:spacing w:before="40" w:after="40" w:line="190" w:lineRule="exact"/>
              <w:jc w:val="left"/>
              <w:rPr>
                <w:sz w:val="16"/>
                <w:szCs w:val="16"/>
              </w:rPr>
            </w:pPr>
            <w:r>
              <w:rPr>
                <w:sz w:val="16"/>
                <w:szCs w:val="16"/>
              </w:rPr>
              <w:t xml:space="preserve">Estimate with the corrected values if this is not a typo. </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1EE9B07B" w14:textId="77777777" w:rsidR="00312698" w:rsidRPr="00183F63" w:rsidRDefault="00312698" w:rsidP="00256488">
            <w:pPr>
              <w:keepLines/>
              <w:spacing w:before="40" w:after="40" w:line="190" w:lineRule="exact"/>
              <w:jc w:val="left"/>
              <w:rPr>
                <w:sz w:val="16"/>
                <w:szCs w:val="16"/>
              </w:rPr>
            </w:pPr>
          </w:p>
        </w:tc>
      </w:tr>
      <w:tr w:rsidR="00312698" w:rsidRPr="00183F63" w14:paraId="20DC6649" w14:textId="77777777" w:rsidTr="00312698">
        <w:trPr>
          <w:cantSplit/>
          <w:trHeight w:val="785"/>
          <w:jc w:val="center"/>
        </w:trPr>
        <w:tc>
          <w:tcPr>
            <w:tcW w:w="418" w:type="dxa"/>
            <w:tcBorders>
              <w:top w:val="single" w:sz="6" w:space="0" w:color="auto"/>
              <w:left w:val="single" w:sz="6" w:space="0" w:color="auto"/>
              <w:bottom w:val="single" w:sz="6" w:space="0" w:color="auto"/>
              <w:right w:val="single" w:sz="6" w:space="0" w:color="auto"/>
            </w:tcBorders>
          </w:tcPr>
          <w:p w14:paraId="2045C234" w14:textId="6D23D326" w:rsidR="00312698" w:rsidRPr="00EE3F35" w:rsidRDefault="0026265C" w:rsidP="00256488">
            <w:pPr>
              <w:keepLines/>
              <w:spacing w:before="40" w:after="40" w:line="190" w:lineRule="exact"/>
              <w:jc w:val="left"/>
              <w:rPr>
                <w:sz w:val="16"/>
                <w:szCs w:val="16"/>
              </w:rPr>
            </w:pPr>
            <w:r w:rsidRPr="00EE3F35">
              <w:rPr>
                <w:sz w:val="16"/>
                <w:szCs w:val="16"/>
              </w:rPr>
              <w:t>5</w:t>
            </w:r>
          </w:p>
        </w:tc>
        <w:tc>
          <w:tcPr>
            <w:tcW w:w="1330" w:type="dxa"/>
            <w:tcBorders>
              <w:top w:val="single" w:sz="6" w:space="0" w:color="auto"/>
              <w:left w:val="single" w:sz="6" w:space="0" w:color="auto"/>
              <w:bottom w:val="single" w:sz="6" w:space="0" w:color="auto"/>
              <w:right w:val="single" w:sz="6" w:space="0" w:color="auto"/>
            </w:tcBorders>
          </w:tcPr>
          <w:p w14:paraId="2F3815E4" w14:textId="36BCD673" w:rsidR="00312698" w:rsidRPr="00EE3F35" w:rsidRDefault="00182C51" w:rsidP="009D4D33">
            <w:pPr>
              <w:keepLines/>
              <w:spacing w:before="40" w:after="40" w:line="190" w:lineRule="exact"/>
              <w:jc w:val="left"/>
              <w:rPr>
                <w:sz w:val="16"/>
                <w:szCs w:val="16"/>
              </w:rPr>
            </w:pPr>
            <w:r w:rsidRPr="00EE3F35">
              <w:rPr>
                <w:sz w:val="16"/>
                <w:szCs w:val="16"/>
              </w:rPr>
              <w:t>Table 4</w:t>
            </w:r>
          </w:p>
        </w:tc>
        <w:tc>
          <w:tcPr>
            <w:tcW w:w="992" w:type="dxa"/>
            <w:tcBorders>
              <w:top w:val="single" w:sz="6" w:space="0" w:color="auto"/>
              <w:left w:val="single" w:sz="6" w:space="0" w:color="auto"/>
              <w:bottom w:val="single" w:sz="6" w:space="0" w:color="auto"/>
              <w:right w:val="single" w:sz="6" w:space="0" w:color="auto"/>
            </w:tcBorders>
          </w:tcPr>
          <w:p w14:paraId="17A4ED9A" w14:textId="016AEAC2" w:rsidR="00312698" w:rsidRPr="00EE3F35" w:rsidRDefault="00D70ACB" w:rsidP="00256488">
            <w:pPr>
              <w:keepLines/>
              <w:spacing w:before="40" w:after="40" w:line="190" w:lineRule="exact"/>
              <w:jc w:val="left"/>
              <w:rPr>
                <w:sz w:val="16"/>
                <w:szCs w:val="16"/>
              </w:rPr>
            </w:pPr>
            <w:proofErr w:type="spellStart"/>
            <w:r>
              <w:rPr>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2D3BF554" w14:textId="7B0D10EF" w:rsidR="00312698" w:rsidRPr="00EE3F35" w:rsidRDefault="007D586A" w:rsidP="00D83BBF">
            <w:pPr>
              <w:keepLines/>
              <w:spacing w:before="40" w:after="40" w:line="190" w:lineRule="exact"/>
              <w:jc w:val="left"/>
              <w:rPr>
                <w:sz w:val="16"/>
                <w:szCs w:val="16"/>
              </w:rPr>
            </w:pPr>
            <w:r>
              <w:rPr>
                <w:sz w:val="16"/>
                <w:szCs w:val="16"/>
              </w:rPr>
              <w:t>S</w:t>
            </w:r>
            <w:r w:rsidR="00182C51" w:rsidRPr="00EE3F35">
              <w:rPr>
                <w:sz w:val="16"/>
                <w:szCs w:val="16"/>
              </w:rPr>
              <w:t xml:space="preserve">hould we </w:t>
            </w:r>
            <w:r w:rsidR="00312698" w:rsidRPr="00EE3F35">
              <w:rPr>
                <w:sz w:val="16"/>
                <w:szCs w:val="16"/>
              </w:rPr>
              <w:t xml:space="preserve">differentiate the quantity of fuelwood and charcoal consumption between urban and rural </w:t>
            </w:r>
            <w:r w:rsidR="00E353A4" w:rsidRPr="00EE3F35">
              <w:rPr>
                <w:sz w:val="16"/>
                <w:szCs w:val="16"/>
              </w:rPr>
              <w:t>residential and non-residential entities. Will this</w:t>
            </w:r>
            <w:r w:rsidR="000129AC" w:rsidRPr="00EE3F35">
              <w:rPr>
                <w:sz w:val="16"/>
                <w:szCs w:val="16"/>
              </w:rPr>
              <w:t xml:space="preserve"> differentiation influence the </w:t>
            </w:r>
            <w:r w:rsidR="00EA7F48" w:rsidRPr="00EE3F35">
              <w:rPr>
                <w:sz w:val="16"/>
                <w:szCs w:val="16"/>
              </w:rPr>
              <w:t>results</w:t>
            </w:r>
            <w:r w:rsidR="000129AC" w:rsidRPr="00EE3F35">
              <w:rPr>
                <w:sz w:val="16"/>
                <w:szCs w:val="16"/>
              </w:rPr>
              <w:t xml:space="preserve">, </w:t>
            </w:r>
            <w:r w:rsidR="00EE3F35" w:rsidRPr="00EE3F35">
              <w:rPr>
                <w:sz w:val="16"/>
                <w:szCs w:val="16"/>
              </w:rPr>
              <w:t xml:space="preserve">in addition to </w:t>
            </w:r>
            <w:r w:rsidR="00D83BBF" w:rsidRPr="00EE3F35">
              <w:rPr>
                <w:sz w:val="16"/>
                <w:szCs w:val="16"/>
              </w:rPr>
              <w:t>estimating</w:t>
            </w:r>
            <w:r w:rsidR="000129AC" w:rsidRPr="00EE3F35">
              <w:rPr>
                <w:sz w:val="16"/>
                <w:szCs w:val="16"/>
              </w:rPr>
              <w:t xml:space="preserve"> </w:t>
            </w:r>
            <w:r w:rsidR="001412D1" w:rsidRPr="00EE3F35">
              <w:rPr>
                <w:sz w:val="16"/>
                <w:szCs w:val="16"/>
              </w:rPr>
              <w:t>urban fNRB and</w:t>
            </w:r>
            <w:r w:rsidR="00D83BBF" w:rsidRPr="00EE3F35">
              <w:rPr>
                <w:sz w:val="16"/>
                <w:szCs w:val="16"/>
              </w:rPr>
              <w:t xml:space="preserve"> assuming that urban </w:t>
            </w:r>
            <w:r w:rsidR="000129AC" w:rsidRPr="00EE3F35">
              <w:rPr>
                <w:sz w:val="16"/>
                <w:szCs w:val="16"/>
              </w:rPr>
              <w:t xml:space="preserve">consumption being fulfilled by the </w:t>
            </w:r>
            <w:r w:rsidR="00D83BBF" w:rsidRPr="00EE3F35">
              <w:rPr>
                <w:sz w:val="16"/>
                <w:szCs w:val="16"/>
              </w:rPr>
              <w:t>high fNRB</w:t>
            </w:r>
            <w:r w:rsidR="005F3350" w:rsidRPr="00EE3F35">
              <w:rPr>
                <w:sz w:val="16"/>
                <w:szCs w:val="16"/>
              </w:rPr>
              <w:t xml:space="preserve"> rural</w:t>
            </w:r>
            <w:r w:rsidR="00D83BBF" w:rsidRPr="00EE3F35">
              <w:rPr>
                <w:sz w:val="16"/>
                <w:szCs w:val="16"/>
              </w:rPr>
              <w:t xml:space="preserve"> areas. </w:t>
            </w:r>
            <w:r w:rsidR="000129AC" w:rsidRPr="00EE3F35">
              <w:rPr>
                <w:sz w:val="16"/>
                <w:szCs w:val="16"/>
              </w:rPr>
              <w:t xml:space="preserve"> </w:t>
            </w:r>
          </w:p>
        </w:tc>
        <w:tc>
          <w:tcPr>
            <w:tcW w:w="4253" w:type="dxa"/>
            <w:tcBorders>
              <w:top w:val="single" w:sz="6" w:space="0" w:color="auto"/>
              <w:left w:val="single" w:sz="6" w:space="0" w:color="auto"/>
              <w:bottom w:val="single" w:sz="6" w:space="0" w:color="auto"/>
              <w:right w:val="single" w:sz="6" w:space="0" w:color="auto"/>
            </w:tcBorders>
          </w:tcPr>
          <w:p w14:paraId="703F5CD2" w14:textId="73361FC5" w:rsidR="00312698" w:rsidRPr="00EE3F35" w:rsidRDefault="00EE3F35" w:rsidP="00256488">
            <w:pPr>
              <w:keepLines/>
              <w:spacing w:before="40" w:after="40" w:line="190" w:lineRule="exact"/>
              <w:jc w:val="left"/>
              <w:rPr>
                <w:sz w:val="16"/>
                <w:szCs w:val="16"/>
              </w:rPr>
            </w:pPr>
            <w:r>
              <w:rPr>
                <w:sz w:val="16"/>
                <w:szCs w:val="16"/>
              </w:rPr>
              <w:t>May be good to make</w:t>
            </w:r>
            <w:r w:rsidR="003527FC" w:rsidRPr="00EE3F35">
              <w:rPr>
                <w:sz w:val="16"/>
                <w:szCs w:val="16"/>
              </w:rPr>
              <w:t xml:space="preserve"> changes if these considerations are significant. </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49D8E52A" w14:textId="77777777" w:rsidR="00312698" w:rsidRPr="00183F63" w:rsidRDefault="00312698" w:rsidP="00256488">
            <w:pPr>
              <w:keepLines/>
              <w:spacing w:before="40" w:after="40" w:line="190" w:lineRule="exact"/>
              <w:jc w:val="left"/>
              <w:rPr>
                <w:b/>
                <w:bCs/>
                <w:sz w:val="16"/>
                <w:szCs w:val="16"/>
              </w:rPr>
            </w:pPr>
          </w:p>
        </w:tc>
      </w:tr>
      <w:tr w:rsidR="00312698" w:rsidRPr="00183F63" w14:paraId="7E97068E" w14:textId="77777777" w:rsidTr="00312698">
        <w:trPr>
          <w:cantSplit/>
          <w:jc w:val="center"/>
        </w:trPr>
        <w:tc>
          <w:tcPr>
            <w:tcW w:w="418" w:type="dxa"/>
            <w:tcBorders>
              <w:top w:val="single" w:sz="6" w:space="0" w:color="auto"/>
              <w:left w:val="single" w:sz="6" w:space="0" w:color="auto"/>
              <w:bottom w:val="single" w:sz="6" w:space="0" w:color="auto"/>
              <w:right w:val="single" w:sz="6" w:space="0" w:color="auto"/>
            </w:tcBorders>
          </w:tcPr>
          <w:p w14:paraId="2D408D55" w14:textId="58344D58" w:rsidR="00312698" w:rsidRPr="00183F63" w:rsidRDefault="003F04CC" w:rsidP="00256488">
            <w:pPr>
              <w:keepLines/>
              <w:spacing w:before="40" w:after="40" w:line="190" w:lineRule="exact"/>
              <w:jc w:val="left"/>
              <w:rPr>
                <w:sz w:val="16"/>
                <w:szCs w:val="16"/>
              </w:rPr>
            </w:pPr>
            <w:r>
              <w:rPr>
                <w:sz w:val="16"/>
                <w:szCs w:val="16"/>
              </w:rPr>
              <w:t>6</w:t>
            </w:r>
          </w:p>
        </w:tc>
        <w:tc>
          <w:tcPr>
            <w:tcW w:w="1330" w:type="dxa"/>
            <w:tcBorders>
              <w:top w:val="single" w:sz="6" w:space="0" w:color="auto"/>
              <w:left w:val="single" w:sz="6" w:space="0" w:color="auto"/>
              <w:bottom w:val="single" w:sz="6" w:space="0" w:color="auto"/>
              <w:right w:val="single" w:sz="6" w:space="0" w:color="auto"/>
            </w:tcBorders>
          </w:tcPr>
          <w:p w14:paraId="207ACA8D" w14:textId="77E7F0F9" w:rsidR="00312698" w:rsidRPr="00183F63" w:rsidRDefault="00312698" w:rsidP="009D4D33">
            <w:pPr>
              <w:keepLines/>
              <w:spacing w:before="40" w:after="40" w:line="190" w:lineRule="exact"/>
              <w:jc w:val="left"/>
              <w:rPr>
                <w:sz w:val="16"/>
                <w:szCs w:val="16"/>
              </w:rPr>
            </w:pPr>
            <w:r w:rsidRPr="00183F63">
              <w:rPr>
                <w:sz w:val="16"/>
                <w:szCs w:val="16"/>
              </w:rPr>
              <w:t>Para 68</w:t>
            </w:r>
          </w:p>
        </w:tc>
        <w:tc>
          <w:tcPr>
            <w:tcW w:w="992" w:type="dxa"/>
            <w:tcBorders>
              <w:top w:val="single" w:sz="6" w:space="0" w:color="auto"/>
              <w:left w:val="single" w:sz="6" w:space="0" w:color="auto"/>
              <w:bottom w:val="single" w:sz="6" w:space="0" w:color="auto"/>
              <w:right w:val="single" w:sz="6" w:space="0" w:color="auto"/>
            </w:tcBorders>
          </w:tcPr>
          <w:p w14:paraId="5AE9F1E3" w14:textId="085617EF" w:rsidR="00312698" w:rsidRPr="00183F63" w:rsidRDefault="00D70ACB" w:rsidP="00256488">
            <w:pPr>
              <w:keepLines/>
              <w:spacing w:before="40" w:after="40" w:line="190" w:lineRule="exact"/>
              <w:jc w:val="left"/>
              <w:rPr>
                <w:sz w:val="16"/>
                <w:szCs w:val="16"/>
              </w:rPr>
            </w:pPr>
            <w:proofErr w:type="spellStart"/>
            <w:r>
              <w:rPr>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6B0066BA" w14:textId="77777777" w:rsidR="00312698" w:rsidRDefault="00312698" w:rsidP="00256488">
            <w:pPr>
              <w:keepLines/>
              <w:spacing w:before="40" w:after="40" w:line="190" w:lineRule="exact"/>
              <w:jc w:val="left"/>
              <w:rPr>
                <w:sz w:val="16"/>
                <w:szCs w:val="16"/>
              </w:rPr>
            </w:pPr>
            <w:r w:rsidRPr="00183F63">
              <w:rPr>
                <w:sz w:val="16"/>
                <w:szCs w:val="16"/>
              </w:rPr>
              <w:t>Prune factor – the pattern and probability of woodfuel harvesting may be totally random or more managed depending on the type of forests, local management practices – for regional it is 100% assuming all pixels are visited at least once over the period whereas for subnational it is less than 100%</w:t>
            </w:r>
            <w:r w:rsidR="00C85F35">
              <w:rPr>
                <w:sz w:val="16"/>
                <w:szCs w:val="16"/>
              </w:rPr>
              <w:t>.</w:t>
            </w:r>
          </w:p>
          <w:p w14:paraId="5BF16C34" w14:textId="04F4966C" w:rsidR="00AF1376" w:rsidRPr="00183F63" w:rsidRDefault="00AF1376" w:rsidP="00256488">
            <w:pPr>
              <w:keepLines/>
              <w:spacing w:before="40" w:after="40" w:line="190" w:lineRule="exact"/>
              <w:jc w:val="left"/>
              <w:rPr>
                <w:sz w:val="16"/>
                <w:szCs w:val="16"/>
              </w:rPr>
            </w:pPr>
            <w:r w:rsidRPr="00183F63">
              <w:rPr>
                <w:sz w:val="16"/>
                <w:szCs w:val="16"/>
              </w:rPr>
              <w:t xml:space="preserve">Though its influence is </w:t>
            </w:r>
            <w:r>
              <w:rPr>
                <w:sz w:val="16"/>
                <w:szCs w:val="16"/>
              </w:rPr>
              <w:t xml:space="preserve">comparatively </w:t>
            </w:r>
            <w:r w:rsidRPr="00183F63">
              <w:rPr>
                <w:sz w:val="16"/>
                <w:szCs w:val="16"/>
              </w:rPr>
              <w:t xml:space="preserve">less - looks </w:t>
            </w:r>
            <w:r>
              <w:rPr>
                <w:sz w:val="16"/>
                <w:szCs w:val="16"/>
              </w:rPr>
              <w:t>like a</w:t>
            </w:r>
            <w:r w:rsidRPr="00183F63">
              <w:rPr>
                <w:sz w:val="16"/>
                <w:szCs w:val="16"/>
              </w:rPr>
              <w:t xml:space="preserve"> high level of assumptions which may not be true</w:t>
            </w:r>
            <w:r>
              <w:rPr>
                <w:sz w:val="16"/>
                <w:szCs w:val="16"/>
              </w:rPr>
              <w:t xml:space="preserve"> and contradicting </w:t>
            </w:r>
            <w:r w:rsidR="00371B9C">
              <w:rPr>
                <w:sz w:val="16"/>
                <w:szCs w:val="16"/>
              </w:rPr>
              <w:t xml:space="preserve">previous </w:t>
            </w:r>
            <w:r w:rsidR="00883421">
              <w:rPr>
                <w:sz w:val="16"/>
                <w:szCs w:val="16"/>
              </w:rPr>
              <w:t xml:space="preserve">understanding </w:t>
            </w:r>
            <w:r>
              <w:rPr>
                <w:sz w:val="16"/>
                <w:szCs w:val="16"/>
              </w:rPr>
              <w:t>of manged harvesting.</w:t>
            </w:r>
          </w:p>
        </w:tc>
        <w:tc>
          <w:tcPr>
            <w:tcW w:w="4253" w:type="dxa"/>
            <w:tcBorders>
              <w:top w:val="single" w:sz="6" w:space="0" w:color="auto"/>
              <w:left w:val="single" w:sz="6" w:space="0" w:color="auto"/>
              <w:bottom w:val="single" w:sz="6" w:space="0" w:color="auto"/>
              <w:right w:val="single" w:sz="6" w:space="0" w:color="auto"/>
            </w:tcBorders>
          </w:tcPr>
          <w:p w14:paraId="57D0DF74" w14:textId="79F36A9D" w:rsidR="00312698" w:rsidRPr="00183F63" w:rsidRDefault="00883421" w:rsidP="00256488">
            <w:pPr>
              <w:keepLines/>
              <w:spacing w:before="40" w:after="40" w:line="190" w:lineRule="exact"/>
              <w:jc w:val="left"/>
              <w:rPr>
                <w:sz w:val="16"/>
                <w:szCs w:val="16"/>
              </w:rPr>
            </w:pPr>
            <w:r>
              <w:rPr>
                <w:sz w:val="16"/>
                <w:szCs w:val="16"/>
              </w:rPr>
              <w:t xml:space="preserve">Make changes </w:t>
            </w:r>
            <w:r w:rsidR="00DF4EE1">
              <w:rPr>
                <w:sz w:val="16"/>
                <w:szCs w:val="16"/>
              </w:rPr>
              <w:t xml:space="preserve">as required based on robust </w:t>
            </w:r>
            <w:r w:rsidR="004B1315">
              <w:rPr>
                <w:sz w:val="16"/>
                <w:szCs w:val="16"/>
              </w:rPr>
              <w:t>evidence</w:t>
            </w:r>
            <w:r w:rsidR="00DF4EE1">
              <w:rPr>
                <w:sz w:val="16"/>
                <w:szCs w:val="16"/>
              </w:rPr>
              <w:t xml:space="preserve">. </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031959CF" w14:textId="77777777" w:rsidR="00312698" w:rsidRPr="00183F63" w:rsidRDefault="00312698" w:rsidP="00256488">
            <w:pPr>
              <w:keepLines/>
              <w:spacing w:before="40" w:after="40" w:line="190" w:lineRule="exact"/>
              <w:jc w:val="left"/>
              <w:rPr>
                <w:sz w:val="16"/>
                <w:szCs w:val="16"/>
              </w:rPr>
            </w:pPr>
          </w:p>
        </w:tc>
      </w:tr>
      <w:tr w:rsidR="00312698" w:rsidRPr="00183F63" w14:paraId="3F11D702" w14:textId="77777777" w:rsidTr="00312698">
        <w:trPr>
          <w:cantSplit/>
          <w:jc w:val="center"/>
        </w:trPr>
        <w:tc>
          <w:tcPr>
            <w:tcW w:w="418" w:type="dxa"/>
            <w:tcBorders>
              <w:top w:val="single" w:sz="6" w:space="0" w:color="auto"/>
              <w:left w:val="single" w:sz="6" w:space="0" w:color="auto"/>
              <w:bottom w:val="single" w:sz="6" w:space="0" w:color="auto"/>
              <w:right w:val="single" w:sz="6" w:space="0" w:color="auto"/>
            </w:tcBorders>
          </w:tcPr>
          <w:p w14:paraId="4E4E2CB8" w14:textId="21DDB101" w:rsidR="00312698" w:rsidRPr="00183F63" w:rsidRDefault="003F04CC" w:rsidP="00256488">
            <w:pPr>
              <w:keepLines/>
              <w:spacing w:before="40" w:after="40" w:line="190" w:lineRule="exact"/>
              <w:jc w:val="left"/>
              <w:rPr>
                <w:sz w:val="16"/>
                <w:szCs w:val="16"/>
              </w:rPr>
            </w:pPr>
            <w:r>
              <w:rPr>
                <w:sz w:val="16"/>
                <w:szCs w:val="16"/>
              </w:rPr>
              <w:lastRenderedPageBreak/>
              <w:t>7</w:t>
            </w:r>
          </w:p>
        </w:tc>
        <w:tc>
          <w:tcPr>
            <w:tcW w:w="1330" w:type="dxa"/>
            <w:tcBorders>
              <w:top w:val="single" w:sz="6" w:space="0" w:color="auto"/>
              <w:left w:val="single" w:sz="6" w:space="0" w:color="auto"/>
              <w:bottom w:val="single" w:sz="6" w:space="0" w:color="auto"/>
              <w:right w:val="single" w:sz="6" w:space="0" w:color="auto"/>
            </w:tcBorders>
          </w:tcPr>
          <w:p w14:paraId="28167CB1" w14:textId="73639DA1" w:rsidR="00312698" w:rsidRPr="00183F63" w:rsidRDefault="00320FFE" w:rsidP="009D4D33">
            <w:pPr>
              <w:keepLines/>
              <w:spacing w:before="40" w:after="40" w:line="190" w:lineRule="exact"/>
              <w:jc w:val="left"/>
              <w:rPr>
                <w:sz w:val="16"/>
                <w:szCs w:val="16"/>
              </w:rPr>
            </w:pPr>
            <w:r>
              <w:rPr>
                <w:sz w:val="16"/>
                <w:szCs w:val="16"/>
              </w:rPr>
              <w:t>Para 70</w:t>
            </w:r>
          </w:p>
        </w:tc>
        <w:tc>
          <w:tcPr>
            <w:tcW w:w="992" w:type="dxa"/>
            <w:tcBorders>
              <w:top w:val="single" w:sz="6" w:space="0" w:color="auto"/>
              <w:left w:val="single" w:sz="6" w:space="0" w:color="auto"/>
              <w:bottom w:val="single" w:sz="6" w:space="0" w:color="auto"/>
              <w:right w:val="single" w:sz="6" w:space="0" w:color="auto"/>
            </w:tcBorders>
          </w:tcPr>
          <w:p w14:paraId="63B76215" w14:textId="71622FF9" w:rsidR="00312698" w:rsidRPr="00183F63" w:rsidRDefault="00D70ACB" w:rsidP="00256488">
            <w:pPr>
              <w:keepLines/>
              <w:spacing w:before="40" w:after="40" w:line="190" w:lineRule="exact"/>
              <w:jc w:val="left"/>
              <w:rPr>
                <w:sz w:val="16"/>
                <w:szCs w:val="16"/>
              </w:rPr>
            </w:pPr>
            <w:proofErr w:type="spellStart"/>
            <w:r>
              <w:rPr>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39E9874B" w14:textId="61D3E249" w:rsidR="00312698" w:rsidRDefault="00170ECC" w:rsidP="00256488">
            <w:pPr>
              <w:keepLines/>
              <w:spacing w:before="40" w:after="40" w:line="190" w:lineRule="exact"/>
              <w:jc w:val="left"/>
              <w:rPr>
                <w:sz w:val="16"/>
                <w:szCs w:val="16"/>
              </w:rPr>
            </w:pPr>
            <w:r>
              <w:rPr>
                <w:sz w:val="16"/>
                <w:szCs w:val="16"/>
              </w:rPr>
              <w:t>U</w:t>
            </w:r>
            <w:r w:rsidR="00312698" w:rsidRPr="00183F63">
              <w:rPr>
                <w:sz w:val="16"/>
                <w:szCs w:val="16"/>
              </w:rPr>
              <w:t>rban fNRB</w:t>
            </w:r>
            <w:r>
              <w:rPr>
                <w:sz w:val="16"/>
                <w:szCs w:val="16"/>
              </w:rPr>
              <w:t xml:space="preserve"> is estimated</w:t>
            </w:r>
            <w:r w:rsidR="00312698" w:rsidRPr="00183F63">
              <w:rPr>
                <w:sz w:val="16"/>
                <w:szCs w:val="16"/>
              </w:rPr>
              <w:t xml:space="preserve"> by assuming urban </w:t>
            </w:r>
            <w:proofErr w:type="spellStart"/>
            <w:r w:rsidR="00312698" w:rsidRPr="00183F63">
              <w:rPr>
                <w:sz w:val="16"/>
                <w:szCs w:val="16"/>
              </w:rPr>
              <w:t>woodfuels</w:t>
            </w:r>
            <w:proofErr w:type="spellEnd"/>
            <w:r w:rsidR="00312698" w:rsidRPr="00183F63">
              <w:rPr>
                <w:sz w:val="16"/>
                <w:szCs w:val="16"/>
              </w:rPr>
              <w:t xml:space="preserve"> originate from high-fNRB administrative units in rural areas and define urban fNRB in each country as the average of the upper 50% percentile of all rural administrative units.</w:t>
            </w:r>
          </w:p>
          <w:p w14:paraId="0D3AA52A" w14:textId="5177B15A" w:rsidR="00AF1376" w:rsidRPr="00183F63" w:rsidRDefault="00AF1376" w:rsidP="00F26C76">
            <w:pPr>
              <w:keepLines/>
              <w:spacing w:before="40" w:after="40" w:line="190" w:lineRule="exact"/>
              <w:jc w:val="left"/>
              <w:rPr>
                <w:sz w:val="16"/>
                <w:szCs w:val="16"/>
              </w:rPr>
            </w:pPr>
            <w:r w:rsidRPr="00183F63">
              <w:rPr>
                <w:sz w:val="16"/>
                <w:szCs w:val="16"/>
              </w:rPr>
              <w:t xml:space="preserve">This assumption </w:t>
            </w:r>
            <w:r w:rsidR="003527B6">
              <w:rPr>
                <w:sz w:val="16"/>
                <w:szCs w:val="16"/>
              </w:rPr>
              <w:t xml:space="preserve">on fulfilment from the high-fNRB units in rural areas </w:t>
            </w:r>
            <w:r w:rsidR="007D586A">
              <w:rPr>
                <w:sz w:val="16"/>
                <w:szCs w:val="16"/>
              </w:rPr>
              <w:t xml:space="preserve">is not always true.  </w:t>
            </w:r>
          </w:p>
        </w:tc>
        <w:tc>
          <w:tcPr>
            <w:tcW w:w="4253" w:type="dxa"/>
            <w:tcBorders>
              <w:top w:val="single" w:sz="6" w:space="0" w:color="auto"/>
              <w:left w:val="single" w:sz="6" w:space="0" w:color="auto"/>
              <w:bottom w:val="single" w:sz="6" w:space="0" w:color="auto"/>
              <w:right w:val="single" w:sz="6" w:space="0" w:color="auto"/>
            </w:tcBorders>
          </w:tcPr>
          <w:p w14:paraId="6D94B1B0" w14:textId="4083D4C9" w:rsidR="00312698" w:rsidRPr="00183F63" w:rsidRDefault="004B1315" w:rsidP="00256488">
            <w:pPr>
              <w:keepLines/>
              <w:spacing w:before="40" w:after="40" w:line="190" w:lineRule="exact"/>
              <w:jc w:val="left"/>
              <w:rPr>
                <w:sz w:val="16"/>
                <w:szCs w:val="16"/>
              </w:rPr>
            </w:pPr>
            <w:r>
              <w:rPr>
                <w:sz w:val="16"/>
                <w:szCs w:val="16"/>
              </w:rPr>
              <w:t xml:space="preserve">Carry out data collection </w:t>
            </w:r>
            <w:r w:rsidR="00897005">
              <w:rPr>
                <w:sz w:val="16"/>
                <w:szCs w:val="16"/>
              </w:rPr>
              <w:t xml:space="preserve">for better </w:t>
            </w:r>
            <w:r w:rsidR="00E47747">
              <w:rPr>
                <w:sz w:val="16"/>
                <w:szCs w:val="16"/>
              </w:rPr>
              <w:t>evidence</w:t>
            </w:r>
            <w:r w:rsidR="000B3C1B">
              <w:rPr>
                <w:sz w:val="16"/>
                <w:szCs w:val="16"/>
              </w:rPr>
              <w:t xml:space="preserve">. </w:t>
            </w:r>
          </w:p>
          <w:p w14:paraId="1DDEE519" w14:textId="4A61F406" w:rsidR="00312698" w:rsidRPr="00183F63" w:rsidRDefault="00312698" w:rsidP="00256488">
            <w:pPr>
              <w:keepLines/>
              <w:spacing w:before="40" w:after="40" w:line="190" w:lineRule="exact"/>
              <w:jc w:val="left"/>
              <w:rPr>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0B07A356" w14:textId="77777777" w:rsidR="00312698" w:rsidRPr="00183F63" w:rsidRDefault="00312698" w:rsidP="00256488">
            <w:pPr>
              <w:keepLines/>
              <w:spacing w:before="40" w:after="40" w:line="190" w:lineRule="exact"/>
              <w:jc w:val="left"/>
              <w:rPr>
                <w:sz w:val="16"/>
                <w:szCs w:val="16"/>
              </w:rPr>
            </w:pPr>
          </w:p>
        </w:tc>
      </w:tr>
      <w:tr w:rsidR="00312698" w:rsidRPr="00183F63" w14:paraId="5402D239" w14:textId="77777777" w:rsidTr="00312698">
        <w:trPr>
          <w:cantSplit/>
          <w:jc w:val="center"/>
        </w:trPr>
        <w:tc>
          <w:tcPr>
            <w:tcW w:w="418" w:type="dxa"/>
            <w:tcBorders>
              <w:top w:val="single" w:sz="6" w:space="0" w:color="auto"/>
              <w:left w:val="single" w:sz="6" w:space="0" w:color="auto"/>
              <w:bottom w:val="single" w:sz="6" w:space="0" w:color="auto"/>
              <w:right w:val="single" w:sz="6" w:space="0" w:color="auto"/>
            </w:tcBorders>
          </w:tcPr>
          <w:p w14:paraId="1D73EB9B" w14:textId="2957B171" w:rsidR="00312698" w:rsidRPr="00183F63" w:rsidRDefault="003F04CC" w:rsidP="00256488">
            <w:pPr>
              <w:keepLines/>
              <w:spacing w:before="40" w:after="40" w:line="190" w:lineRule="exact"/>
              <w:jc w:val="left"/>
              <w:rPr>
                <w:sz w:val="16"/>
                <w:szCs w:val="16"/>
              </w:rPr>
            </w:pPr>
            <w:r>
              <w:rPr>
                <w:sz w:val="16"/>
                <w:szCs w:val="16"/>
              </w:rPr>
              <w:t>8</w:t>
            </w:r>
          </w:p>
        </w:tc>
        <w:tc>
          <w:tcPr>
            <w:tcW w:w="1330" w:type="dxa"/>
            <w:tcBorders>
              <w:top w:val="single" w:sz="6" w:space="0" w:color="auto"/>
              <w:left w:val="single" w:sz="6" w:space="0" w:color="auto"/>
              <w:bottom w:val="single" w:sz="6" w:space="0" w:color="auto"/>
              <w:right w:val="single" w:sz="6" w:space="0" w:color="auto"/>
            </w:tcBorders>
          </w:tcPr>
          <w:p w14:paraId="032252C8" w14:textId="731BC982" w:rsidR="00312698" w:rsidRPr="00183F63" w:rsidRDefault="00BC3348" w:rsidP="009D4D33">
            <w:pPr>
              <w:keepLines/>
              <w:spacing w:before="40" w:after="40" w:line="190" w:lineRule="exact"/>
              <w:jc w:val="left"/>
              <w:rPr>
                <w:sz w:val="16"/>
                <w:szCs w:val="16"/>
              </w:rPr>
            </w:pPr>
            <w:r>
              <w:rPr>
                <w:sz w:val="16"/>
                <w:szCs w:val="16"/>
              </w:rPr>
              <w:t xml:space="preserve">Para 103, 104, 105 and 106 </w:t>
            </w:r>
          </w:p>
        </w:tc>
        <w:tc>
          <w:tcPr>
            <w:tcW w:w="992" w:type="dxa"/>
            <w:tcBorders>
              <w:top w:val="single" w:sz="6" w:space="0" w:color="auto"/>
              <w:left w:val="single" w:sz="6" w:space="0" w:color="auto"/>
              <w:bottom w:val="single" w:sz="6" w:space="0" w:color="auto"/>
              <w:right w:val="single" w:sz="6" w:space="0" w:color="auto"/>
            </w:tcBorders>
          </w:tcPr>
          <w:p w14:paraId="4B6B52F2" w14:textId="048AC503" w:rsidR="00312698" w:rsidRPr="00183F63" w:rsidRDefault="00D70ACB" w:rsidP="00256488">
            <w:pPr>
              <w:keepLines/>
              <w:spacing w:before="40" w:after="40" w:line="190" w:lineRule="exact"/>
              <w:jc w:val="left"/>
              <w:rPr>
                <w:sz w:val="16"/>
                <w:szCs w:val="16"/>
              </w:rPr>
            </w:pPr>
            <w:proofErr w:type="spellStart"/>
            <w:r>
              <w:rPr>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4C06E1BC" w14:textId="1E4DF0F4" w:rsidR="00312698" w:rsidRPr="00183F63" w:rsidRDefault="00BC3348" w:rsidP="000C53E5">
            <w:pPr>
              <w:keepLines/>
              <w:spacing w:before="40" w:after="40" w:line="190" w:lineRule="exact"/>
              <w:jc w:val="left"/>
              <w:rPr>
                <w:sz w:val="16"/>
                <w:szCs w:val="16"/>
              </w:rPr>
            </w:pPr>
            <w:r>
              <w:rPr>
                <w:sz w:val="16"/>
                <w:szCs w:val="16"/>
              </w:rPr>
              <w:t xml:space="preserve">With regards to larger differences </w:t>
            </w:r>
            <w:r w:rsidR="009460A3">
              <w:rPr>
                <w:sz w:val="16"/>
                <w:szCs w:val="16"/>
              </w:rPr>
              <w:t>between Oct 2023 and current release</w:t>
            </w:r>
            <w:r w:rsidR="00312698" w:rsidRPr="00183F63">
              <w:rPr>
                <w:sz w:val="16"/>
                <w:szCs w:val="16"/>
              </w:rPr>
              <w:t xml:space="preserve"> – one of the principal parameters is the trade but with opposite results – what was the evidence for isolating both islands </w:t>
            </w:r>
            <w:r w:rsidR="006A7666">
              <w:rPr>
                <w:sz w:val="16"/>
                <w:szCs w:val="16"/>
              </w:rPr>
              <w:t xml:space="preserve">of </w:t>
            </w:r>
            <w:r w:rsidR="006A7666" w:rsidRPr="006A7666">
              <w:rPr>
                <w:sz w:val="16"/>
                <w:szCs w:val="16"/>
              </w:rPr>
              <w:t>São Tomé and Príncipe and Comoros</w:t>
            </w:r>
            <w:r w:rsidR="006A7666">
              <w:rPr>
                <w:sz w:val="16"/>
                <w:szCs w:val="16"/>
              </w:rPr>
              <w:t xml:space="preserve"> </w:t>
            </w:r>
            <w:r w:rsidR="00312698" w:rsidRPr="00183F63">
              <w:rPr>
                <w:sz w:val="16"/>
                <w:szCs w:val="16"/>
              </w:rPr>
              <w:t xml:space="preserve">from the SSA and for including Djibouti clustering with Ethiopia, and Somalia. </w:t>
            </w:r>
          </w:p>
          <w:p w14:paraId="6B40A85C" w14:textId="77777777" w:rsidR="00312698" w:rsidRDefault="00312698" w:rsidP="000C53E5">
            <w:pPr>
              <w:keepLines/>
              <w:spacing w:before="40" w:after="40" w:line="190" w:lineRule="exact"/>
              <w:jc w:val="left"/>
              <w:rPr>
                <w:sz w:val="16"/>
                <w:szCs w:val="16"/>
              </w:rPr>
            </w:pPr>
            <w:r w:rsidRPr="00183F63">
              <w:rPr>
                <w:sz w:val="16"/>
                <w:szCs w:val="16"/>
              </w:rPr>
              <w:t xml:space="preserve">In the case of Kenya, again changes in the flow of woodfuel reverses based on a study and anecdotal evidence – this sounds not very robust. </w:t>
            </w:r>
          </w:p>
          <w:p w14:paraId="6F59EABF" w14:textId="47A50A08" w:rsidR="00D76730" w:rsidRPr="00183F63" w:rsidRDefault="00D76730" w:rsidP="000C53E5">
            <w:pPr>
              <w:keepLines/>
              <w:spacing w:before="40" w:after="40" w:line="190" w:lineRule="exact"/>
              <w:jc w:val="left"/>
              <w:rPr>
                <w:sz w:val="16"/>
                <w:szCs w:val="16"/>
              </w:rPr>
            </w:pPr>
            <w:r w:rsidRPr="00183F63">
              <w:rPr>
                <w:sz w:val="16"/>
                <w:szCs w:val="16"/>
              </w:rPr>
              <w:t xml:space="preserve">Details on these would be useful otherwise it just looks that assumptions are being made </w:t>
            </w:r>
            <w:r w:rsidR="00FF505E">
              <w:rPr>
                <w:sz w:val="16"/>
                <w:szCs w:val="16"/>
              </w:rPr>
              <w:t xml:space="preserve">at </w:t>
            </w:r>
            <w:r w:rsidRPr="00183F63">
              <w:rPr>
                <w:sz w:val="16"/>
                <w:szCs w:val="16"/>
              </w:rPr>
              <w:t xml:space="preserve">random and </w:t>
            </w:r>
            <w:r w:rsidR="00FF505E">
              <w:rPr>
                <w:sz w:val="16"/>
                <w:szCs w:val="16"/>
              </w:rPr>
              <w:t xml:space="preserve">are not </w:t>
            </w:r>
            <w:r w:rsidRPr="00183F63">
              <w:rPr>
                <w:sz w:val="16"/>
                <w:szCs w:val="16"/>
              </w:rPr>
              <w:t>eviden</w:t>
            </w:r>
            <w:r w:rsidR="00FF505E">
              <w:rPr>
                <w:sz w:val="16"/>
                <w:szCs w:val="16"/>
              </w:rPr>
              <w:t>tial</w:t>
            </w:r>
            <w:r w:rsidRPr="00183F63">
              <w:rPr>
                <w:sz w:val="16"/>
                <w:szCs w:val="16"/>
              </w:rPr>
              <w:t xml:space="preserve">. </w:t>
            </w:r>
          </w:p>
        </w:tc>
        <w:tc>
          <w:tcPr>
            <w:tcW w:w="4253" w:type="dxa"/>
            <w:tcBorders>
              <w:top w:val="single" w:sz="6" w:space="0" w:color="auto"/>
              <w:left w:val="single" w:sz="6" w:space="0" w:color="auto"/>
              <w:bottom w:val="single" w:sz="6" w:space="0" w:color="auto"/>
              <w:right w:val="single" w:sz="6" w:space="0" w:color="auto"/>
            </w:tcBorders>
          </w:tcPr>
          <w:p w14:paraId="537465CA" w14:textId="1A5FD5AC" w:rsidR="000B3C1B" w:rsidRPr="00183F63" w:rsidRDefault="000B3C1B" w:rsidP="000B3C1B">
            <w:pPr>
              <w:keepLines/>
              <w:spacing w:before="40" w:after="40" w:line="190" w:lineRule="exact"/>
              <w:jc w:val="left"/>
              <w:rPr>
                <w:sz w:val="16"/>
                <w:szCs w:val="16"/>
              </w:rPr>
            </w:pPr>
            <w:r>
              <w:rPr>
                <w:sz w:val="16"/>
                <w:szCs w:val="16"/>
              </w:rPr>
              <w:t xml:space="preserve">Carry out data collection for better </w:t>
            </w:r>
            <w:r w:rsidR="00E47747">
              <w:rPr>
                <w:sz w:val="16"/>
                <w:szCs w:val="16"/>
              </w:rPr>
              <w:t>evidence</w:t>
            </w:r>
            <w:r>
              <w:rPr>
                <w:sz w:val="16"/>
                <w:szCs w:val="16"/>
              </w:rPr>
              <w:t xml:space="preserve">. </w:t>
            </w:r>
          </w:p>
          <w:p w14:paraId="678FA39C" w14:textId="657AA1A7" w:rsidR="00312698" w:rsidRPr="00183F63" w:rsidRDefault="00312698" w:rsidP="00256488">
            <w:pPr>
              <w:keepLines/>
              <w:spacing w:before="40" w:after="40" w:line="190" w:lineRule="exact"/>
              <w:jc w:val="left"/>
              <w:rPr>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0C848C30" w14:textId="77777777" w:rsidR="00312698" w:rsidRPr="00183F63" w:rsidRDefault="00312698" w:rsidP="00256488">
            <w:pPr>
              <w:keepLines/>
              <w:spacing w:before="40" w:after="40" w:line="190" w:lineRule="exact"/>
              <w:jc w:val="left"/>
              <w:rPr>
                <w:sz w:val="16"/>
                <w:szCs w:val="16"/>
              </w:rPr>
            </w:pPr>
          </w:p>
        </w:tc>
      </w:tr>
      <w:tr w:rsidR="00837AA8" w:rsidRPr="00183F63" w14:paraId="75237984" w14:textId="77777777" w:rsidTr="00EF0E40">
        <w:trPr>
          <w:cantSplit/>
          <w:jc w:val="center"/>
        </w:trPr>
        <w:tc>
          <w:tcPr>
            <w:tcW w:w="14307" w:type="dxa"/>
            <w:gridSpan w:val="6"/>
            <w:tcBorders>
              <w:top w:val="single" w:sz="6" w:space="0" w:color="auto"/>
              <w:left w:val="single" w:sz="6" w:space="0" w:color="auto"/>
              <w:bottom w:val="single" w:sz="6" w:space="0" w:color="auto"/>
              <w:right w:val="single" w:sz="6" w:space="0" w:color="auto"/>
            </w:tcBorders>
          </w:tcPr>
          <w:p w14:paraId="10E32587" w14:textId="77F69098" w:rsidR="00837AA8" w:rsidRPr="00837AA8" w:rsidRDefault="00837AA8" w:rsidP="00256488">
            <w:pPr>
              <w:keepLines/>
              <w:spacing w:before="40" w:after="40" w:line="190" w:lineRule="exact"/>
              <w:jc w:val="left"/>
              <w:rPr>
                <w:b/>
                <w:bCs/>
                <w:sz w:val="16"/>
                <w:szCs w:val="16"/>
              </w:rPr>
            </w:pPr>
            <w:r w:rsidRPr="00837AA8">
              <w:rPr>
                <w:b/>
                <w:bCs/>
                <w:sz w:val="16"/>
                <w:szCs w:val="16"/>
              </w:rPr>
              <w:t xml:space="preserve">Appendix 3 Responses to public comments </w:t>
            </w:r>
          </w:p>
        </w:tc>
      </w:tr>
      <w:tr w:rsidR="00D1376F" w:rsidRPr="00183F63" w14:paraId="68DB7F46" w14:textId="77777777" w:rsidTr="00D86D68">
        <w:trPr>
          <w:cantSplit/>
          <w:jc w:val="center"/>
        </w:trPr>
        <w:tc>
          <w:tcPr>
            <w:tcW w:w="418" w:type="dxa"/>
            <w:tcBorders>
              <w:top w:val="single" w:sz="6" w:space="0" w:color="auto"/>
              <w:left w:val="single" w:sz="6" w:space="0" w:color="auto"/>
              <w:bottom w:val="single" w:sz="6" w:space="0" w:color="auto"/>
              <w:right w:val="single" w:sz="6" w:space="0" w:color="auto"/>
            </w:tcBorders>
          </w:tcPr>
          <w:p w14:paraId="0F2027A3" w14:textId="6AD9BE4E" w:rsidR="00D1376F" w:rsidRPr="00183F63" w:rsidRDefault="003F04CC" w:rsidP="00D86D68">
            <w:pPr>
              <w:keepLines/>
              <w:spacing w:before="40" w:after="40" w:line="190" w:lineRule="exact"/>
              <w:jc w:val="left"/>
              <w:rPr>
                <w:sz w:val="16"/>
                <w:szCs w:val="16"/>
              </w:rPr>
            </w:pPr>
            <w:r>
              <w:rPr>
                <w:sz w:val="16"/>
                <w:szCs w:val="16"/>
              </w:rPr>
              <w:t>9</w:t>
            </w:r>
          </w:p>
        </w:tc>
        <w:tc>
          <w:tcPr>
            <w:tcW w:w="1330" w:type="dxa"/>
            <w:tcBorders>
              <w:top w:val="single" w:sz="6" w:space="0" w:color="auto"/>
              <w:left w:val="single" w:sz="6" w:space="0" w:color="auto"/>
              <w:bottom w:val="single" w:sz="6" w:space="0" w:color="auto"/>
              <w:right w:val="single" w:sz="6" w:space="0" w:color="auto"/>
            </w:tcBorders>
          </w:tcPr>
          <w:p w14:paraId="5F9D5BE0" w14:textId="309CCE14" w:rsidR="00D1376F" w:rsidRPr="00183F63" w:rsidRDefault="00D1376F" w:rsidP="00D86D68">
            <w:pPr>
              <w:keepLines/>
              <w:spacing w:before="40" w:after="40" w:line="190" w:lineRule="exact"/>
              <w:jc w:val="left"/>
              <w:rPr>
                <w:sz w:val="16"/>
                <w:szCs w:val="16"/>
              </w:rPr>
            </w:pPr>
            <w:r>
              <w:rPr>
                <w:sz w:val="16"/>
                <w:szCs w:val="16"/>
              </w:rPr>
              <w:t xml:space="preserve">Para </w:t>
            </w:r>
            <w:r w:rsidRPr="00183F63">
              <w:rPr>
                <w:sz w:val="16"/>
                <w:szCs w:val="16"/>
              </w:rPr>
              <w:t>21</w:t>
            </w:r>
          </w:p>
        </w:tc>
        <w:tc>
          <w:tcPr>
            <w:tcW w:w="992" w:type="dxa"/>
            <w:tcBorders>
              <w:top w:val="single" w:sz="6" w:space="0" w:color="auto"/>
              <w:left w:val="single" w:sz="6" w:space="0" w:color="auto"/>
              <w:bottom w:val="single" w:sz="6" w:space="0" w:color="auto"/>
              <w:right w:val="single" w:sz="6" w:space="0" w:color="auto"/>
            </w:tcBorders>
          </w:tcPr>
          <w:p w14:paraId="32DA7B0A" w14:textId="3D6B25D9" w:rsidR="00D1376F" w:rsidRPr="00183F63" w:rsidRDefault="00D70ACB" w:rsidP="00D86D68">
            <w:pPr>
              <w:keepLines/>
              <w:spacing w:before="40" w:after="40" w:line="190" w:lineRule="exact"/>
              <w:jc w:val="left"/>
              <w:rPr>
                <w:sz w:val="16"/>
                <w:szCs w:val="16"/>
              </w:rPr>
            </w:pPr>
            <w:proofErr w:type="spellStart"/>
            <w:r>
              <w:rPr>
                <w:sz w:val="16"/>
                <w:szCs w:val="16"/>
              </w:rPr>
              <w:t>Te</w:t>
            </w:r>
            <w:proofErr w:type="spellEnd"/>
            <w:r>
              <w:rPr>
                <w:sz w:val="16"/>
                <w:szCs w:val="16"/>
              </w:rPr>
              <w:t xml:space="preserve"> </w:t>
            </w:r>
          </w:p>
        </w:tc>
        <w:tc>
          <w:tcPr>
            <w:tcW w:w="4762" w:type="dxa"/>
            <w:tcBorders>
              <w:top w:val="single" w:sz="6" w:space="0" w:color="auto"/>
              <w:left w:val="single" w:sz="6" w:space="0" w:color="auto"/>
              <w:bottom w:val="single" w:sz="6" w:space="0" w:color="auto"/>
              <w:right w:val="single" w:sz="6" w:space="0" w:color="auto"/>
            </w:tcBorders>
          </w:tcPr>
          <w:p w14:paraId="0B4D77F3" w14:textId="77777777" w:rsidR="009F722B" w:rsidRDefault="009F722B" w:rsidP="00D86D68">
            <w:pPr>
              <w:pStyle w:val="Default"/>
              <w:rPr>
                <w:rFonts w:ascii="Arial" w:hAnsi="Arial" w:cs="Arial"/>
                <w:color w:val="auto"/>
                <w:sz w:val="16"/>
                <w:szCs w:val="16"/>
                <w:lang w:eastAsia="en-US"/>
              </w:rPr>
            </w:pPr>
          </w:p>
          <w:p w14:paraId="778908E7" w14:textId="3A1323B4" w:rsidR="00D1376F" w:rsidRDefault="00D1376F" w:rsidP="00D86D68">
            <w:pPr>
              <w:pStyle w:val="Default"/>
              <w:rPr>
                <w:rFonts w:ascii="Arial" w:hAnsi="Arial" w:cs="Arial"/>
                <w:color w:val="auto"/>
                <w:sz w:val="16"/>
                <w:szCs w:val="16"/>
                <w:lang w:eastAsia="en-US"/>
              </w:rPr>
            </w:pPr>
            <w:r w:rsidRPr="00E9194F">
              <w:rPr>
                <w:rFonts w:ascii="Arial" w:hAnsi="Arial" w:cs="Arial"/>
                <w:color w:val="auto"/>
                <w:sz w:val="16"/>
                <w:szCs w:val="16"/>
                <w:lang w:eastAsia="en-US"/>
              </w:rPr>
              <w:t xml:space="preserve">Other comments suggested that we adjust the spatial distribution of urban areas by coding rural areas as urban when they pass the “urban threshold” of population density. While there is a certain logic to this, we already account for growth in the size of the urban population by using UN urbanization forecasts. If we also allowed rural areas to transition into urban, then we would be overestimating the total urban population. </w:t>
            </w:r>
          </w:p>
          <w:p w14:paraId="3B544DDF" w14:textId="77777777" w:rsidR="00C34405" w:rsidRDefault="00C34405" w:rsidP="00D86D68">
            <w:pPr>
              <w:pStyle w:val="Default"/>
              <w:rPr>
                <w:rFonts w:ascii="Arial" w:hAnsi="Arial" w:cs="Arial"/>
                <w:color w:val="auto"/>
                <w:sz w:val="16"/>
                <w:szCs w:val="16"/>
                <w:lang w:eastAsia="en-US"/>
              </w:rPr>
            </w:pPr>
          </w:p>
          <w:p w14:paraId="1DCD297E" w14:textId="06FC0502" w:rsidR="00C34405" w:rsidRDefault="00C34405" w:rsidP="00D86D68">
            <w:pPr>
              <w:pStyle w:val="Default"/>
              <w:rPr>
                <w:rFonts w:ascii="Arial" w:hAnsi="Arial" w:cs="Arial"/>
                <w:color w:val="auto"/>
                <w:sz w:val="16"/>
                <w:szCs w:val="16"/>
                <w:lang w:eastAsia="en-US"/>
              </w:rPr>
            </w:pPr>
            <w:r>
              <w:rPr>
                <w:rFonts w:ascii="Arial" w:hAnsi="Arial" w:cs="Arial"/>
                <w:color w:val="auto"/>
                <w:sz w:val="16"/>
                <w:szCs w:val="16"/>
                <w:lang w:eastAsia="en-US"/>
              </w:rPr>
              <w:t xml:space="preserve">As per the </w:t>
            </w:r>
            <w:r w:rsidR="000969F6">
              <w:rPr>
                <w:rFonts w:ascii="Arial" w:hAnsi="Arial" w:cs="Arial"/>
                <w:color w:val="auto"/>
                <w:sz w:val="16"/>
                <w:szCs w:val="16"/>
                <w:lang w:eastAsia="en-US"/>
              </w:rPr>
              <w:t>UN urbanisation forecasts and WHO</w:t>
            </w:r>
            <w:r w:rsidR="006219BC">
              <w:rPr>
                <w:rFonts w:ascii="Arial" w:hAnsi="Arial" w:cs="Arial"/>
                <w:color w:val="auto"/>
                <w:sz w:val="16"/>
                <w:szCs w:val="16"/>
                <w:lang w:eastAsia="en-US"/>
              </w:rPr>
              <w:t xml:space="preserve"> forecasts on</w:t>
            </w:r>
            <w:r w:rsidR="000969F6">
              <w:rPr>
                <w:rFonts w:ascii="Arial" w:hAnsi="Arial" w:cs="Arial"/>
                <w:color w:val="auto"/>
                <w:sz w:val="16"/>
                <w:szCs w:val="16"/>
                <w:lang w:eastAsia="en-US"/>
              </w:rPr>
              <w:t xml:space="preserve"> urban rural primary fuel use, </w:t>
            </w:r>
            <w:r w:rsidR="00F570F6">
              <w:rPr>
                <w:rFonts w:ascii="Arial" w:hAnsi="Arial" w:cs="Arial"/>
                <w:color w:val="auto"/>
                <w:sz w:val="16"/>
                <w:szCs w:val="16"/>
                <w:lang w:eastAsia="en-US"/>
              </w:rPr>
              <w:t xml:space="preserve">is only the population changing </w:t>
            </w:r>
            <w:r w:rsidR="00CF0C1E">
              <w:rPr>
                <w:rFonts w:ascii="Arial" w:hAnsi="Arial" w:cs="Arial"/>
                <w:color w:val="auto"/>
                <w:sz w:val="16"/>
                <w:szCs w:val="16"/>
                <w:lang w:eastAsia="en-US"/>
              </w:rPr>
              <w:t>or the</w:t>
            </w:r>
            <w:r w:rsidR="00F570F6">
              <w:rPr>
                <w:rFonts w:ascii="Arial" w:hAnsi="Arial" w:cs="Arial"/>
                <w:color w:val="auto"/>
                <w:sz w:val="16"/>
                <w:szCs w:val="16"/>
                <w:lang w:eastAsia="en-US"/>
              </w:rPr>
              <w:t xml:space="preserve"> urban and rural areas </w:t>
            </w:r>
            <w:r w:rsidR="00CF0C1E">
              <w:rPr>
                <w:rFonts w:ascii="Arial" w:hAnsi="Arial" w:cs="Arial"/>
                <w:color w:val="auto"/>
                <w:sz w:val="16"/>
                <w:szCs w:val="16"/>
                <w:lang w:eastAsia="en-US"/>
              </w:rPr>
              <w:t xml:space="preserve">also </w:t>
            </w:r>
            <w:r w:rsidR="00F570F6">
              <w:rPr>
                <w:rFonts w:ascii="Arial" w:hAnsi="Arial" w:cs="Arial"/>
                <w:color w:val="auto"/>
                <w:sz w:val="16"/>
                <w:szCs w:val="16"/>
                <w:lang w:eastAsia="en-US"/>
              </w:rPr>
              <w:t>changing spatially?</w:t>
            </w:r>
          </w:p>
          <w:p w14:paraId="0B98D645" w14:textId="77777777" w:rsidR="00D1376F" w:rsidRPr="00E9194F" w:rsidRDefault="00D1376F" w:rsidP="0079741C">
            <w:pPr>
              <w:pStyle w:val="Default"/>
              <w:rPr>
                <w:rFonts w:ascii="Arial" w:hAnsi="Arial" w:cs="Arial"/>
                <w:color w:val="auto"/>
                <w:sz w:val="16"/>
                <w:szCs w:val="16"/>
                <w:lang w:eastAsia="en-US"/>
              </w:rPr>
            </w:pPr>
          </w:p>
        </w:tc>
        <w:tc>
          <w:tcPr>
            <w:tcW w:w="4253" w:type="dxa"/>
            <w:tcBorders>
              <w:top w:val="single" w:sz="6" w:space="0" w:color="auto"/>
              <w:left w:val="single" w:sz="6" w:space="0" w:color="auto"/>
              <w:bottom w:val="single" w:sz="6" w:space="0" w:color="auto"/>
              <w:right w:val="single" w:sz="6" w:space="0" w:color="auto"/>
            </w:tcBorders>
          </w:tcPr>
          <w:p w14:paraId="0160C5A0" w14:textId="5D60B9CC" w:rsidR="00D1376F" w:rsidRPr="00183F63" w:rsidRDefault="00CF0C1E" w:rsidP="00D86D68">
            <w:pPr>
              <w:keepLines/>
              <w:spacing w:before="40" w:after="40" w:line="190" w:lineRule="exact"/>
              <w:jc w:val="left"/>
              <w:rPr>
                <w:sz w:val="16"/>
                <w:szCs w:val="16"/>
              </w:rPr>
            </w:pPr>
            <w:r>
              <w:rPr>
                <w:sz w:val="16"/>
                <w:szCs w:val="16"/>
              </w:rPr>
              <w:t>In reality,</w:t>
            </w:r>
            <w:r w:rsidR="00C34405">
              <w:rPr>
                <w:sz w:val="16"/>
                <w:szCs w:val="16"/>
              </w:rPr>
              <w:t xml:space="preserve"> spatially, </w:t>
            </w:r>
            <w:r w:rsidR="00D1376F" w:rsidRPr="00183F63">
              <w:rPr>
                <w:sz w:val="16"/>
                <w:szCs w:val="16"/>
              </w:rPr>
              <w:t>the rural areas are constantly changing to urban areas based not only on the population but also the other parameters, manly the road and other infrastructure e.g. in Nepal rural councils are converted to Urban councils</w:t>
            </w:r>
            <w:r w:rsidR="000310D8">
              <w:rPr>
                <w:sz w:val="16"/>
                <w:szCs w:val="16"/>
              </w:rPr>
              <w:t>/metropolis</w:t>
            </w:r>
            <w:r w:rsidR="00D1376F" w:rsidRPr="00183F63">
              <w:rPr>
                <w:sz w:val="16"/>
                <w:szCs w:val="16"/>
              </w:rPr>
              <w:t xml:space="preserve"> periodically – however, </w:t>
            </w:r>
            <w:r w:rsidR="00EF2E44">
              <w:rPr>
                <w:sz w:val="16"/>
                <w:szCs w:val="16"/>
              </w:rPr>
              <w:t>there is not a clear timeline for doing this</w:t>
            </w:r>
            <w:r w:rsidR="00D1376F" w:rsidRPr="00183F63">
              <w:rPr>
                <w:sz w:val="16"/>
                <w:szCs w:val="16"/>
              </w:rPr>
              <w:t xml:space="preserve">. </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788A3335" w14:textId="77777777" w:rsidR="00D1376F" w:rsidRPr="00183F63" w:rsidRDefault="00D1376F" w:rsidP="00D86D68">
            <w:pPr>
              <w:keepLines/>
              <w:spacing w:before="40" w:after="40" w:line="190" w:lineRule="exact"/>
              <w:jc w:val="left"/>
              <w:rPr>
                <w:sz w:val="16"/>
                <w:szCs w:val="16"/>
              </w:rPr>
            </w:pPr>
          </w:p>
        </w:tc>
      </w:tr>
      <w:tr w:rsidR="000C6871" w:rsidRPr="00183F63" w14:paraId="2C5DAEE1" w14:textId="77777777" w:rsidTr="00D86D68">
        <w:trPr>
          <w:cantSplit/>
          <w:jc w:val="center"/>
        </w:trPr>
        <w:tc>
          <w:tcPr>
            <w:tcW w:w="418" w:type="dxa"/>
            <w:tcBorders>
              <w:top w:val="single" w:sz="6" w:space="0" w:color="auto"/>
              <w:left w:val="single" w:sz="6" w:space="0" w:color="auto"/>
              <w:bottom w:val="single" w:sz="6" w:space="0" w:color="auto"/>
              <w:right w:val="single" w:sz="6" w:space="0" w:color="auto"/>
            </w:tcBorders>
          </w:tcPr>
          <w:p w14:paraId="4E76C386" w14:textId="018D4AE4" w:rsidR="000C6871" w:rsidRPr="00183F63" w:rsidRDefault="0026265C" w:rsidP="00D86D68">
            <w:pPr>
              <w:keepLines/>
              <w:spacing w:before="40" w:after="40" w:line="190" w:lineRule="exact"/>
              <w:jc w:val="left"/>
              <w:rPr>
                <w:sz w:val="16"/>
                <w:szCs w:val="16"/>
              </w:rPr>
            </w:pPr>
            <w:r>
              <w:rPr>
                <w:sz w:val="16"/>
                <w:szCs w:val="16"/>
              </w:rPr>
              <w:t>1</w:t>
            </w:r>
            <w:r w:rsidR="003F04CC">
              <w:rPr>
                <w:sz w:val="16"/>
                <w:szCs w:val="16"/>
              </w:rPr>
              <w:t>0</w:t>
            </w:r>
          </w:p>
        </w:tc>
        <w:tc>
          <w:tcPr>
            <w:tcW w:w="1330" w:type="dxa"/>
            <w:tcBorders>
              <w:top w:val="single" w:sz="6" w:space="0" w:color="auto"/>
              <w:left w:val="single" w:sz="6" w:space="0" w:color="auto"/>
              <w:bottom w:val="single" w:sz="6" w:space="0" w:color="auto"/>
              <w:right w:val="single" w:sz="6" w:space="0" w:color="auto"/>
            </w:tcBorders>
          </w:tcPr>
          <w:p w14:paraId="3D37D661" w14:textId="6EC428F1" w:rsidR="000C6871" w:rsidRPr="00183F63" w:rsidRDefault="00F43AEF" w:rsidP="00D86D68">
            <w:pPr>
              <w:keepLines/>
              <w:spacing w:before="40" w:after="40" w:line="190" w:lineRule="exact"/>
              <w:jc w:val="left"/>
              <w:rPr>
                <w:sz w:val="16"/>
                <w:szCs w:val="16"/>
              </w:rPr>
            </w:pPr>
            <w:r>
              <w:rPr>
                <w:sz w:val="16"/>
                <w:szCs w:val="16"/>
              </w:rPr>
              <w:t xml:space="preserve">Para 33 </w:t>
            </w:r>
          </w:p>
        </w:tc>
        <w:tc>
          <w:tcPr>
            <w:tcW w:w="992" w:type="dxa"/>
            <w:tcBorders>
              <w:top w:val="single" w:sz="6" w:space="0" w:color="auto"/>
              <w:left w:val="single" w:sz="6" w:space="0" w:color="auto"/>
              <w:bottom w:val="single" w:sz="6" w:space="0" w:color="auto"/>
              <w:right w:val="single" w:sz="6" w:space="0" w:color="auto"/>
            </w:tcBorders>
          </w:tcPr>
          <w:p w14:paraId="222813E4" w14:textId="6309866A" w:rsidR="000C6871" w:rsidRPr="00183F63" w:rsidRDefault="00D70ACB" w:rsidP="00D86D68">
            <w:pPr>
              <w:keepLines/>
              <w:spacing w:before="40" w:after="40" w:line="190" w:lineRule="exact"/>
              <w:jc w:val="left"/>
              <w:rPr>
                <w:sz w:val="16"/>
                <w:szCs w:val="16"/>
              </w:rPr>
            </w:pPr>
            <w:proofErr w:type="spellStart"/>
            <w:r>
              <w:rPr>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09457CD3" w14:textId="3F5C0167" w:rsidR="000C6871" w:rsidRPr="00183F63" w:rsidRDefault="009F63A5" w:rsidP="00D86D68">
            <w:pPr>
              <w:keepLines/>
              <w:spacing w:before="40" w:after="40" w:line="190" w:lineRule="exact"/>
              <w:jc w:val="left"/>
              <w:rPr>
                <w:sz w:val="16"/>
                <w:szCs w:val="16"/>
              </w:rPr>
            </w:pPr>
            <w:r>
              <w:rPr>
                <w:sz w:val="16"/>
                <w:szCs w:val="16"/>
              </w:rPr>
              <w:t>It</w:t>
            </w:r>
            <w:r w:rsidR="00810890">
              <w:rPr>
                <w:sz w:val="16"/>
                <w:szCs w:val="16"/>
              </w:rPr>
              <w:t xml:space="preserve"> is</w:t>
            </w:r>
            <w:r w:rsidR="00810890" w:rsidRPr="00810890">
              <w:rPr>
                <w:sz w:val="16"/>
                <w:szCs w:val="16"/>
              </w:rPr>
              <w:t xml:space="preserve"> possible to carry out separate analyses for wood and charcoal,</w:t>
            </w:r>
            <w:r>
              <w:rPr>
                <w:sz w:val="16"/>
                <w:szCs w:val="16"/>
              </w:rPr>
              <w:t xml:space="preserve"> while s</w:t>
            </w:r>
            <w:r w:rsidR="00810890" w:rsidRPr="00810890">
              <w:rPr>
                <w:sz w:val="16"/>
                <w:szCs w:val="16"/>
              </w:rPr>
              <w:t>eparating them into different models would result in lower fNRB estimates for both fuel pathways.</w:t>
            </w:r>
          </w:p>
        </w:tc>
        <w:tc>
          <w:tcPr>
            <w:tcW w:w="4253" w:type="dxa"/>
            <w:tcBorders>
              <w:top w:val="single" w:sz="6" w:space="0" w:color="auto"/>
              <w:left w:val="single" w:sz="6" w:space="0" w:color="auto"/>
              <w:bottom w:val="single" w:sz="6" w:space="0" w:color="auto"/>
              <w:right w:val="single" w:sz="6" w:space="0" w:color="auto"/>
            </w:tcBorders>
          </w:tcPr>
          <w:p w14:paraId="49D25D61" w14:textId="168E0073" w:rsidR="000C6871" w:rsidRPr="00183F63" w:rsidRDefault="000C6871" w:rsidP="00D86D68">
            <w:pPr>
              <w:keepLines/>
              <w:spacing w:before="40" w:after="40" w:line="190" w:lineRule="exact"/>
              <w:jc w:val="left"/>
              <w:rPr>
                <w:sz w:val="16"/>
                <w:szCs w:val="16"/>
              </w:rPr>
            </w:pPr>
            <w:r w:rsidRPr="00183F63">
              <w:rPr>
                <w:sz w:val="16"/>
                <w:szCs w:val="16"/>
              </w:rPr>
              <w:t xml:space="preserve">An example on this similar to </w:t>
            </w:r>
            <w:r w:rsidR="008650F8">
              <w:rPr>
                <w:sz w:val="16"/>
                <w:szCs w:val="16"/>
              </w:rPr>
              <w:t xml:space="preserve">Appendix 2 on why deforestation module was not used </w:t>
            </w:r>
            <w:r w:rsidR="00E410C3">
              <w:rPr>
                <w:sz w:val="16"/>
                <w:szCs w:val="16"/>
              </w:rPr>
              <w:t xml:space="preserve">e.g. </w:t>
            </w:r>
            <w:r w:rsidRPr="00183F63">
              <w:rPr>
                <w:sz w:val="16"/>
                <w:szCs w:val="16"/>
              </w:rPr>
              <w:t xml:space="preserve">Ghana </w:t>
            </w:r>
            <w:r w:rsidR="00E410C3">
              <w:rPr>
                <w:sz w:val="16"/>
                <w:szCs w:val="16"/>
              </w:rPr>
              <w:t xml:space="preserve">could be useful to underline </w:t>
            </w:r>
            <w:r w:rsidR="004F2E16">
              <w:rPr>
                <w:sz w:val="16"/>
                <w:szCs w:val="16"/>
              </w:rPr>
              <w:t>why</w:t>
            </w:r>
            <w:r w:rsidR="00400920">
              <w:rPr>
                <w:sz w:val="16"/>
                <w:szCs w:val="16"/>
              </w:rPr>
              <w:t xml:space="preserve"> </w:t>
            </w:r>
            <w:r w:rsidR="00E410C3">
              <w:rPr>
                <w:sz w:val="16"/>
                <w:szCs w:val="16"/>
              </w:rPr>
              <w:t>separating out</w:t>
            </w:r>
            <w:r w:rsidR="00A77D63">
              <w:rPr>
                <w:sz w:val="16"/>
                <w:szCs w:val="16"/>
              </w:rPr>
              <w:t xml:space="preserve"> is not beneficial. </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26552AF5" w14:textId="77777777" w:rsidR="000C6871" w:rsidRPr="00183F63" w:rsidRDefault="000C6871" w:rsidP="00D86D68">
            <w:pPr>
              <w:keepLines/>
              <w:spacing w:before="40" w:after="40" w:line="190" w:lineRule="exact"/>
              <w:jc w:val="left"/>
              <w:rPr>
                <w:sz w:val="16"/>
                <w:szCs w:val="16"/>
              </w:rPr>
            </w:pPr>
          </w:p>
        </w:tc>
      </w:tr>
      <w:tr w:rsidR="00D31905" w:rsidRPr="00183F63" w14:paraId="6415AFD6" w14:textId="77777777" w:rsidTr="00D86D68">
        <w:trPr>
          <w:cantSplit/>
          <w:jc w:val="center"/>
        </w:trPr>
        <w:tc>
          <w:tcPr>
            <w:tcW w:w="418" w:type="dxa"/>
            <w:tcBorders>
              <w:top w:val="single" w:sz="6" w:space="0" w:color="auto"/>
              <w:left w:val="single" w:sz="6" w:space="0" w:color="auto"/>
              <w:bottom w:val="single" w:sz="6" w:space="0" w:color="auto"/>
              <w:right w:val="single" w:sz="6" w:space="0" w:color="auto"/>
            </w:tcBorders>
          </w:tcPr>
          <w:p w14:paraId="2B122A04" w14:textId="2B11FFA0" w:rsidR="00D31905" w:rsidRPr="00183F63" w:rsidRDefault="0026265C" w:rsidP="00D86D68">
            <w:pPr>
              <w:keepLines/>
              <w:spacing w:before="40" w:after="40" w:line="190" w:lineRule="exact"/>
              <w:jc w:val="left"/>
              <w:rPr>
                <w:sz w:val="16"/>
                <w:szCs w:val="16"/>
              </w:rPr>
            </w:pPr>
            <w:r>
              <w:rPr>
                <w:sz w:val="16"/>
                <w:szCs w:val="16"/>
              </w:rPr>
              <w:lastRenderedPageBreak/>
              <w:t>1</w:t>
            </w:r>
            <w:r w:rsidR="003F04CC">
              <w:rPr>
                <w:sz w:val="16"/>
                <w:szCs w:val="16"/>
              </w:rPr>
              <w:t>1</w:t>
            </w:r>
          </w:p>
        </w:tc>
        <w:tc>
          <w:tcPr>
            <w:tcW w:w="1330" w:type="dxa"/>
            <w:tcBorders>
              <w:top w:val="single" w:sz="6" w:space="0" w:color="auto"/>
              <w:left w:val="single" w:sz="6" w:space="0" w:color="auto"/>
              <w:bottom w:val="single" w:sz="6" w:space="0" w:color="auto"/>
              <w:right w:val="single" w:sz="6" w:space="0" w:color="auto"/>
            </w:tcBorders>
          </w:tcPr>
          <w:p w14:paraId="72E2AD32" w14:textId="0E9E8FA3" w:rsidR="00D31905" w:rsidRDefault="00FB69D1" w:rsidP="00D86D68">
            <w:pPr>
              <w:keepLines/>
              <w:spacing w:before="40" w:after="40" w:line="190" w:lineRule="exact"/>
              <w:jc w:val="left"/>
              <w:rPr>
                <w:sz w:val="16"/>
                <w:szCs w:val="16"/>
              </w:rPr>
            </w:pPr>
            <w:r>
              <w:rPr>
                <w:sz w:val="16"/>
                <w:szCs w:val="16"/>
              </w:rPr>
              <w:t>Para</w:t>
            </w:r>
            <w:r w:rsidR="00B55BB0">
              <w:rPr>
                <w:sz w:val="16"/>
                <w:szCs w:val="16"/>
              </w:rPr>
              <w:t xml:space="preserve"> 34</w:t>
            </w:r>
          </w:p>
        </w:tc>
        <w:tc>
          <w:tcPr>
            <w:tcW w:w="992" w:type="dxa"/>
            <w:tcBorders>
              <w:top w:val="single" w:sz="6" w:space="0" w:color="auto"/>
              <w:left w:val="single" w:sz="6" w:space="0" w:color="auto"/>
              <w:bottom w:val="single" w:sz="6" w:space="0" w:color="auto"/>
              <w:right w:val="single" w:sz="6" w:space="0" w:color="auto"/>
            </w:tcBorders>
          </w:tcPr>
          <w:p w14:paraId="7D1B5DE2" w14:textId="7F5E8D08" w:rsidR="00D31905" w:rsidRPr="00183F63" w:rsidRDefault="00D70ACB" w:rsidP="00D86D68">
            <w:pPr>
              <w:keepLines/>
              <w:spacing w:before="40" w:after="40" w:line="190" w:lineRule="exact"/>
              <w:jc w:val="left"/>
              <w:rPr>
                <w:sz w:val="16"/>
                <w:szCs w:val="16"/>
              </w:rPr>
            </w:pPr>
            <w:proofErr w:type="spellStart"/>
            <w:r>
              <w:rPr>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7632B123" w14:textId="77777777" w:rsidR="00A77D63" w:rsidRDefault="009F63A5" w:rsidP="00D86D68">
            <w:pPr>
              <w:keepLines/>
              <w:spacing w:before="40" w:after="40" w:line="190" w:lineRule="exact"/>
              <w:jc w:val="left"/>
              <w:rPr>
                <w:sz w:val="16"/>
                <w:szCs w:val="16"/>
              </w:rPr>
            </w:pPr>
            <w:r w:rsidRPr="00810890">
              <w:rPr>
                <w:sz w:val="16"/>
                <w:szCs w:val="16"/>
              </w:rPr>
              <w:t>MoFuSS assesses fNRB as the joint impact of fuelwood and charcoal harvesting together, which is additive</w:t>
            </w:r>
            <w:r w:rsidR="003C3524">
              <w:rPr>
                <w:sz w:val="16"/>
                <w:szCs w:val="16"/>
              </w:rPr>
              <w:t>.</w:t>
            </w:r>
            <w:r w:rsidR="00FB69D1">
              <w:rPr>
                <w:sz w:val="16"/>
                <w:szCs w:val="16"/>
              </w:rPr>
              <w:t xml:space="preserve"> </w:t>
            </w:r>
          </w:p>
          <w:p w14:paraId="1DED97B9" w14:textId="11C2925D" w:rsidR="00D31905" w:rsidRDefault="007264C7" w:rsidP="00D86D68">
            <w:pPr>
              <w:keepLines/>
              <w:spacing w:before="40" w:after="40" w:line="190" w:lineRule="exact"/>
              <w:jc w:val="left"/>
              <w:rPr>
                <w:sz w:val="16"/>
                <w:szCs w:val="16"/>
              </w:rPr>
            </w:pPr>
            <w:r>
              <w:rPr>
                <w:sz w:val="16"/>
                <w:szCs w:val="16"/>
              </w:rPr>
              <w:t>H</w:t>
            </w:r>
            <w:r w:rsidR="00FB69D1">
              <w:rPr>
                <w:sz w:val="16"/>
                <w:szCs w:val="16"/>
              </w:rPr>
              <w:t xml:space="preserve">owever, </w:t>
            </w:r>
            <w:r w:rsidR="00D31905">
              <w:rPr>
                <w:sz w:val="16"/>
                <w:szCs w:val="16"/>
              </w:rPr>
              <w:t xml:space="preserve">non-renewability due to charcoal use </w:t>
            </w:r>
            <w:r w:rsidR="00FB69D1">
              <w:rPr>
                <w:sz w:val="16"/>
                <w:szCs w:val="16"/>
              </w:rPr>
              <w:t xml:space="preserve">is expected </w:t>
            </w:r>
            <w:r w:rsidR="00D31905">
              <w:rPr>
                <w:sz w:val="16"/>
                <w:szCs w:val="16"/>
              </w:rPr>
              <w:t xml:space="preserve">to be higher because </w:t>
            </w:r>
            <w:r>
              <w:rPr>
                <w:sz w:val="16"/>
                <w:szCs w:val="16"/>
              </w:rPr>
              <w:t>its</w:t>
            </w:r>
            <w:r w:rsidR="00D31905">
              <w:rPr>
                <w:sz w:val="16"/>
                <w:szCs w:val="16"/>
              </w:rPr>
              <w:t xml:space="preserve"> production is a high biomass resource practise– provided the source of charcoal production can be identified </w:t>
            </w:r>
            <w:r w:rsidR="0032319C">
              <w:rPr>
                <w:sz w:val="16"/>
                <w:szCs w:val="16"/>
              </w:rPr>
              <w:t xml:space="preserve">non-additively. </w:t>
            </w:r>
          </w:p>
        </w:tc>
        <w:tc>
          <w:tcPr>
            <w:tcW w:w="4253" w:type="dxa"/>
            <w:tcBorders>
              <w:top w:val="single" w:sz="6" w:space="0" w:color="auto"/>
              <w:left w:val="single" w:sz="6" w:space="0" w:color="auto"/>
              <w:bottom w:val="single" w:sz="6" w:space="0" w:color="auto"/>
              <w:right w:val="single" w:sz="6" w:space="0" w:color="auto"/>
            </w:tcBorders>
          </w:tcPr>
          <w:p w14:paraId="3EE247FC" w14:textId="5783E6E6" w:rsidR="00D31905" w:rsidRPr="00183F63" w:rsidRDefault="00F4518E" w:rsidP="00D86D68">
            <w:pPr>
              <w:keepLines/>
              <w:spacing w:before="40" w:after="40" w:line="190" w:lineRule="exact"/>
              <w:jc w:val="left"/>
              <w:rPr>
                <w:sz w:val="16"/>
                <w:szCs w:val="16"/>
              </w:rPr>
            </w:pPr>
            <w:r>
              <w:rPr>
                <w:sz w:val="16"/>
                <w:szCs w:val="16"/>
              </w:rPr>
              <w:t xml:space="preserve">Is it possible to </w:t>
            </w:r>
            <w:r w:rsidR="00C516FF">
              <w:rPr>
                <w:sz w:val="16"/>
                <w:szCs w:val="16"/>
              </w:rPr>
              <w:t>estimate</w:t>
            </w:r>
            <w:r>
              <w:rPr>
                <w:sz w:val="16"/>
                <w:szCs w:val="16"/>
              </w:rPr>
              <w:t xml:space="preserve"> the ratio of impact</w:t>
            </w:r>
            <w:r w:rsidR="0069289D">
              <w:rPr>
                <w:sz w:val="16"/>
                <w:szCs w:val="16"/>
              </w:rPr>
              <w:t xml:space="preserve">s due to firewood and charcoal </w:t>
            </w:r>
            <w:r>
              <w:rPr>
                <w:sz w:val="16"/>
                <w:szCs w:val="16"/>
              </w:rPr>
              <w:t xml:space="preserve">on the average </w:t>
            </w:r>
            <w:r w:rsidR="009902C8">
              <w:rPr>
                <w:sz w:val="16"/>
                <w:szCs w:val="16"/>
              </w:rPr>
              <w:t xml:space="preserve">fNRB. </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09F055BB" w14:textId="77777777" w:rsidR="00D31905" w:rsidRPr="00183F63" w:rsidRDefault="00D31905" w:rsidP="00D86D68">
            <w:pPr>
              <w:keepLines/>
              <w:spacing w:before="40" w:after="40" w:line="190" w:lineRule="exact"/>
              <w:jc w:val="left"/>
              <w:rPr>
                <w:sz w:val="16"/>
                <w:szCs w:val="16"/>
              </w:rPr>
            </w:pPr>
          </w:p>
        </w:tc>
      </w:tr>
      <w:tr w:rsidR="00AE2FDC" w:rsidRPr="00183F63" w14:paraId="20038F14" w14:textId="77777777" w:rsidTr="00085717">
        <w:trPr>
          <w:cantSplit/>
          <w:jc w:val="center"/>
        </w:trPr>
        <w:tc>
          <w:tcPr>
            <w:tcW w:w="14307" w:type="dxa"/>
            <w:gridSpan w:val="6"/>
            <w:tcBorders>
              <w:top w:val="single" w:sz="6" w:space="0" w:color="auto"/>
              <w:left w:val="single" w:sz="6" w:space="0" w:color="auto"/>
              <w:bottom w:val="single" w:sz="6" w:space="0" w:color="auto"/>
              <w:right w:val="single" w:sz="6" w:space="0" w:color="auto"/>
            </w:tcBorders>
          </w:tcPr>
          <w:p w14:paraId="1B477942" w14:textId="0C59A169" w:rsidR="00AE2FDC" w:rsidRPr="00AE2FDC" w:rsidRDefault="00AE2FDC" w:rsidP="00256488">
            <w:pPr>
              <w:keepLines/>
              <w:spacing w:before="40" w:after="40" w:line="190" w:lineRule="exact"/>
              <w:jc w:val="left"/>
              <w:rPr>
                <w:b/>
                <w:bCs/>
                <w:sz w:val="16"/>
                <w:szCs w:val="16"/>
              </w:rPr>
            </w:pPr>
            <w:r w:rsidRPr="00AE2FDC">
              <w:rPr>
                <w:b/>
                <w:bCs/>
                <w:sz w:val="16"/>
                <w:szCs w:val="16"/>
              </w:rPr>
              <w:t>Generic Comment</w:t>
            </w:r>
            <w:r w:rsidR="002E35A6">
              <w:rPr>
                <w:b/>
                <w:bCs/>
                <w:sz w:val="16"/>
                <w:szCs w:val="16"/>
              </w:rPr>
              <w:t>/</w:t>
            </w:r>
            <w:r w:rsidRPr="00AE2FDC">
              <w:rPr>
                <w:b/>
                <w:bCs/>
                <w:sz w:val="16"/>
                <w:szCs w:val="16"/>
              </w:rPr>
              <w:t xml:space="preserve">s </w:t>
            </w:r>
          </w:p>
        </w:tc>
      </w:tr>
      <w:tr w:rsidR="00AE3AA3" w:rsidRPr="00183F63" w14:paraId="569D1937" w14:textId="77777777" w:rsidTr="00AE3AA3">
        <w:trPr>
          <w:cantSplit/>
          <w:jc w:val="center"/>
        </w:trPr>
        <w:tc>
          <w:tcPr>
            <w:tcW w:w="418" w:type="dxa"/>
            <w:tcBorders>
              <w:top w:val="single" w:sz="6" w:space="0" w:color="auto"/>
              <w:left w:val="single" w:sz="6" w:space="0" w:color="auto"/>
              <w:bottom w:val="single" w:sz="6" w:space="0" w:color="auto"/>
              <w:right w:val="single" w:sz="6" w:space="0" w:color="auto"/>
            </w:tcBorders>
          </w:tcPr>
          <w:p w14:paraId="45BDE73A" w14:textId="49A36AD7" w:rsidR="00AE3AA3" w:rsidRPr="00183F63" w:rsidRDefault="0026265C" w:rsidP="00D86D68">
            <w:pPr>
              <w:keepLines/>
              <w:spacing w:before="40" w:after="40" w:line="190" w:lineRule="exact"/>
              <w:jc w:val="left"/>
              <w:rPr>
                <w:sz w:val="16"/>
                <w:szCs w:val="16"/>
              </w:rPr>
            </w:pPr>
            <w:r>
              <w:rPr>
                <w:sz w:val="16"/>
                <w:szCs w:val="16"/>
              </w:rPr>
              <w:t>1</w:t>
            </w:r>
            <w:r w:rsidR="003F04CC">
              <w:rPr>
                <w:sz w:val="16"/>
                <w:szCs w:val="16"/>
              </w:rPr>
              <w:t>2</w:t>
            </w:r>
          </w:p>
        </w:tc>
        <w:tc>
          <w:tcPr>
            <w:tcW w:w="1330" w:type="dxa"/>
            <w:tcBorders>
              <w:top w:val="single" w:sz="6" w:space="0" w:color="auto"/>
              <w:left w:val="single" w:sz="6" w:space="0" w:color="auto"/>
              <w:bottom w:val="single" w:sz="6" w:space="0" w:color="auto"/>
              <w:right w:val="single" w:sz="6" w:space="0" w:color="auto"/>
            </w:tcBorders>
          </w:tcPr>
          <w:p w14:paraId="215C83EC" w14:textId="77777777" w:rsidR="00AE3AA3" w:rsidRPr="00183F63" w:rsidRDefault="00AE3AA3" w:rsidP="00D86D68">
            <w:pPr>
              <w:keepLines/>
              <w:spacing w:before="40" w:after="40" w:line="190" w:lineRule="exact"/>
              <w:jc w:val="left"/>
              <w:rPr>
                <w:sz w:val="16"/>
                <w:szCs w:val="16"/>
              </w:rPr>
            </w:pPr>
          </w:p>
        </w:tc>
        <w:tc>
          <w:tcPr>
            <w:tcW w:w="992" w:type="dxa"/>
            <w:tcBorders>
              <w:top w:val="single" w:sz="6" w:space="0" w:color="auto"/>
              <w:left w:val="single" w:sz="6" w:space="0" w:color="auto"/>
              <w:bottom w:val="single" w:sz="6" w:space="0" w:color="auto"/>
              <w:right w:val="single" w:sz="6" w:space="0" w:color="auto"/>
            </w:tcBorders>
          </w:tcPr>
          <w:p w14:paraId="753DC521" w14:textId="0CB9C494" w:rsidR="00AE3AA3" w:rsidRPr="00183F63" w:rsidRDefault="00D70ACB" w:rsidP="00D86D68">
            <w:pPr>
              <w:keepLines/>
              <w:spacing w:before="40" w:after="40" w:line="190" w:lineRule="exact"/>
              <w:jc w:val="left"/>
              <w:rPr>
                <w:sz w:val="16"/>
                <w:szCs w:val="16"/>
              </w:rPr>
            </w:pPr>
            <w:r>
              <w:rPr>
                <w:sz w:val="16"/>
                <w:szCs w:val="16"/>
              </w:rPr>
              <w:t>Ge</w:t>
            </w:r>
          </w:p>
        </w:tc>
        <w:tc>
          <w:tcPr>
            <w:tcW w:w="4762" w:type="dxa"/>
            <w:tcBorders>
              <w:top w:val="single" w:sz="6" w:space="0" w:color="auto"/>
              <w:left w:val="single" w:sz="6" w:space="0" w:color="auto"/>
              <w:bottom w:val="single" w:sz="6" w:space="0" w:color="auto"/>
              <w:right w:val="single" w:sz="6" w:space="0" w:color="auto"/>
            </w:tcBorders>
          </w:tcPr>
          <w:p w14:paraId="7C650242" w14:textId="77777777" w:rsidR="00AE3AA3" w:rsidRDefault="006D3A5B" w:rsidP="00AE3AA3">
            <w:pPr>
              <w:pStyle w:val="Default"/>
              <w:rPr>
                <w:rFonts w:ascii="Arial" w:hAnsi="Arial" w:cs="Arial"/>
                <w:color w:val="auto"/>
                <w:sz w:val="16"/>
                <w:szCs w:val="16"/>
                <w:lang w:eastAsia="en-US"/>
              </w:rPr>
            </w:pPr>
            <w:r>
              <w:rPr>
                <w:rFonts w:ascii="Arial" w:hAnsi="Arial" w:cs="Arial"/>
                <w:color w:val="auto"/>
                <w:sz w:val="16"/>
                <w:szCs w:val="16"/>
                <w:lang w:eastAsia="en-US"/>
              </w:rPr>
              <w:t>Several incidences of l</w:t>
            </w:r>
            <w:r w:rsidR="00AE3AA3" w:rsidRPr="00AE3AA3">
              <w:rPr>
                <w:rFonts w:ascii="Arial" w:hAnsi="Arial" w:cs="Arial"/>
                <w:color w:val="auto"/>
                <w:sz w:val="16"/>
                <w:szCs w:val="16"/>
                <w:lang w:eastAsia="en-US"/>
              </w:rPr>
              <w:t>ack of data and specific input parameters suggest taking it to the project and country level for use with updated and</w:t>
            </w:r>
            <w:r>
              <w:rPr>
                <w:rFonts w:ascii="Arial" w:hAnsi="Arial" w:cs="Arial"/>
                <w:color w:val="auto"/>
                <w:sz w:val="16"/>
                <w:szCs w:val="16"/>
                <w:lang w:eastAsia="en-US"/>
              </w:rPr>
              <w:t xml:space="preserve">/or </w:t>
            </w:r>
            <w:r w:rsidR="00AE3AA3" w:rsidRPr="00AE3AA3">
              <w:rPr>
                <w:rFonts w:ascii="Arial" w:hAnsi="Arial" w:cs="Arial"/>
                <w:color w:val="auto"/>
                <w:sz w:val="16"/>
                <w:szCs w:val="16"/>
                <w:lang w:eastAsia="en-US"/>
              </w:rPr>
              <w:t>local data</w:t>
            </w:r>
            <w:r>
              <w:rPr>
                <w:rFonts w:ascii="Arial" w:hAnsi="Arial" w:cs="Arial"/>
                <w:color w:val="auto"/>
                <w:sz w:val="16"/>
                <w:szCs w:val="16"/>
                <w:lang w:eastAsia="en-US"/>
              </w:rPr>
              <w:t xml:space="preserve">. </w:t>
            </w:r>
          </w:p>
          <w:p w14:paraId="1205737B" w14:textId="77777777" w:rsidR="00350A36" w:rsidRDefault="00350A36" w:rsidP="00AE3AA3">
            <w:pPr>
              <w:pStyle w:val="Default"/>
              <w:rPr>
                <w:rFonts w:ascii="Arial" w:hAnsi="Arial" w:cs="Arial"/>
                <w:color w:val="auto"/>
                <w:sz w:val="16"/>
                <w:szCs w:val="16"/>
                <w:lang w:eastAsia="en-US"/>
              </w:rPr>
            </w:pPr>
          </w:p>
          <w:p w14:paraId="0F48E84D" w14:textId="0E84CBE2" w:rsidR="00350A36" w:rsidRDefault="00350A36" w:rsidP="00AE3AA3">
            <w:pPr>
              <w:pStyle w:val="Default"/>
              <w:rPr>
                <w:rFonts w:ascii="Arial" w:hAnsi="Arial" w:cs="Arial"/>
                <w:color w:val="auto"/>
                <w:sz w:val="16"/>
                <w:szCs w:val="16"/>
                <w:lang w:eastAsia="en-US"/>
              </w:rPr>
            </w:pPr>
            <w:r w:rsidRPr="00350A36">
              <w:rPr>
                <w:rFonts w:ascii="Arial" w:hAnsi="Arial" w:cs="Arial"/>
                <w:color w:val="auto"/>
                <w:sz w:val="16"/>
                <w:szCs w:val="16"/>
                <w:lang w:eastAsia="en-US"/>
              </w:rPr>
              <w:t>While development of a web-based application (Appendix 4.2) would allow including local and more updated data across different activity levels - guidelines and trainings on its use for project developers and national entities (e.g. DNA</w:t>
            </w:r>
            <w:r w:rsidR="00050F16">
              <w:rPr>
                <w:rFonts w:ascii="Arial" w:hAnsi="Arial" w:cs="Arial"/>
                <w:color w:val="auto"/>
                <w:sz w:val="16"/>
                <w:szCs w:val="16"/>
                <w:lang w:eastAsia="en-US"/>
              </w:rPr>
              <w:t xml:space="preserve">) and on specific parameters </w:t>
            </w:r>
            <w:r w:rsidR="0070454F">
              <w:rPr>
                <w:rFonts w:ascii="Arial" w:hAnsi="Arial" w:cs="Arial"/>
                <w:color w:val="auto"/>
                <w:sz w:val="16"/>
                <w:szCs w:val="16"/>
                <w:lang w:eastAsia="en-US"/>
              </w:rPr>
              <w:t xml:space="preserve">(e.g. </w:t>
            </w:r>
            <w:r w:rsidRPr="00350A36">
              <w:rPr>
                <w:rFonts w:ascii="Arial" w:hAnsi="Arial" w:cs="Arial"/>
                <w:color w:val="auto"/>
                <w:sz w:val="16"/>
                <w:szCs w:val="16"/>
                <w:lang w:eastAsia="en-US"/>
              </w:rPr>
              <w:t>Appendix 4.1 on stacking of fuel and stoves</w:t>
            </w:r>
            <w:r w:rsidR="0070454F">
              <w:rPr>
                <w:rFonts w:ascii="Arial" w:hAnsi="Arial" w:cs="Arial"/>
                <w:color w:val="auto"/>
                <w:sz w:val="16"/>
                <w:szCs w:val="16"/>
                <w:lang w:eastAsia="en-US"/>
              </w:rPr>
              <w:t xml:space="preserve">) </w:t>
            </w:r>
            <w:r w:rsidR="00203A4E">
              <w:rPr>
                <w:rFonts w:ascii="Arial" w:hAnsi="Arial" w:cs="Arial"/>
                <w:color w:val="auto"/>
                <w:sz w:val="16"/>
                <w:szCs w:val="16"/>
                <w:lang w:eastAsia="en-US"/>
              </w:rPr>
              <w:t xml:space="preserve">would be useful. </w:t>
            </w:r>
          </w:p>
          <w:p w14:paraId="5DC07F5E" w14:textId="3803AC92" w:rsidR="00350A36" w:rsidRPr="00AE3AA3" w:rsidRDefault="00350A36" w:rsidP="00AE3AA3">
            <w:pPr>
              <w:pStyle w:val="Default"/>
              <w:rPr>
                <w:rFonts w:ascii="Arial" w:hAnsi="Arial" w:cs="Arial"/>
                <w:color w:val="auto"/>
                <w:sz w:val="16"/>
                <w:szCs w:val="16"/>
                <w:lang w:eastAsia="en-US"/>
              </w:rPr>
            </w:pPr>
          </w:p>
        </w:tc>
        <w:tc>
          <w:tcPr>
            <w:tcW w:w="4253" w:type="dxa"/>
            <w:tcBorders>
              <w:top w:val="single" w:sz="6" w:space="0" w:color="auto"/>
              <w:left w:val="single" w:sz="6" w:space="0" w:color="auto"/>
              <w:bottom w:val="single" w:sz="6" w:space="0" w:color="auto"/>
              <w:right w:val="single" w:sz="6" w:space="0" w:color="auto"/>
            </w:tcBorders>
          </w:tcPr>
          <w:p w14:paraId="5B5BDD92" w14:textId="404AB048" w:rsidR="004E2B96" w:rsidRDefault="00B81A94" w:rsidP="00B81A94">
            <w:pPr>
              <w:keepLines/>
              <w:spacing w:before="40" w:after="40" w:line="190" w:lineRule="exact"/>
              <w:jc w:val="left"/>
              <w:rPr>
                <w:sz w:val="16"/>
                <w:szCs w:val="16"/>
              </w:rPr>
            </w:pPr>
            <w:r>
              <w:rPr>
                <w:sz w:val="16"/>
                <w:szCs w:val="16"/>
              </w:rPr>
              <w:t xml:space="preserve">In this, an </w:t>
            </w:r>
            <w:r w:rsidRPr="00183F63">
              <w:rPr>
                <w:sz w:val="16"/>
                <w:szCs w:val="16"/>
              </w:rPr>
              <w:t xml:space="preserve">important question is </w:t>
            </w:r>
            <w:r w:rsidR="002E35A6">
              <w:rPr>
                <w:sz w:val="16"/>
                <w:szCs w:val="16"/>
              </w:rPr>
              <w:t>can</w:t>
            </w:r>
            <w:r w:rsidRPr="00183F63">
              <w:rPr>
                <w:sz w:val="16"/>
                <w:szCs w:val="16"/>
              </w:rPr>
              <w:t xml:space="preserve"> this create </w:t>
            </w:r>
            <w:r>
              <w:rPr>
                <w:sz w:val="16"/>
                <w:szCs w:val="16"/>
              </w:rPr>
              <w:t xml:space="preserve">some kind of a </w:t>
            </w:r>
            <w:r w:rsidRPr="00183F63">
              <w:rPr>
                <w:sz w:val="16"/>
                <w:szCs w:val="16"/>
              </w:rPr>
              <w:t xml:space="preserve">perverse incentive on the part of the proponents to carry out quick studies or cherry pick studies </w:t>
            </w:r>
            <w:r w:rsidR="00177FA2">
              <w:rPr>
                <w:sz w:val="16"/>
                <w:szCs w:val="16"/>
              </w:rPr>
              <w:t xml:space="preserve">e.g. </w:t>
            </w:r>
            <w:r w:rsidRPr="00183F63">
              <w:rPr>
                <w:sz w:val="16"/>
                <w:szCs w:val="16"/>
              </w:rPr>
              <w:t>on trade to manipulate the values</w:t>
            </w:r>
            <w:r w:rsidR="002E35A6">
              <w:rPr>
                <w:sz w:val="16"/>
                <w:szCs w:val="16"/>
              </w:rPr>
              <w:t xml:space="preserve"> -</w:t>
            </w:r>
            <w:r w:rsidR="004E2B96">
              <w:t xml:space="preserve"> </w:t>
            </w:r>
            <w:r w:rsidR="004E2B96">
              <w:rPr>
                <w:sz w:val="16"/>
                <w:szCs w:val="16"/>
              </w:rPr>
              <w:t>similar to the example mentioned</w:t>
            </w:r>
            <w:r w:rsidR="004E2B96" w:rsidRPr="004E2B96">
              <w:rPr>
                <w:sz w:val="16"/>
                <w:szCs w:val="16"/>
              </w:rPr>
              <w:t xml:space="preserve"> regarding Uganda</w:t>
            </w:r>
            <w:r w:rsidR="00964816">
              <w:rPr>
                <w:sz w:val="16"/>
                <w:szCs w:val="16"/>
              </w:rPr>
              <w:t xml:space="preserve"> (Section 8.1, Para 42).</w:t>
            </w:r>
          </w:p>
          <w:p w14:paraId="1478632B" w14:textId="31E9A102" w:rsidR="00B81A94" w:rsidRDefault="00177FA2" w:rsidP="00B81A94">
            <w:pPr>
              <w:keepLines/>
              <w:spacing w:before="40" w:after="40" w:line="190" w:lineRule="exact"/>
              <w:jc w:val="left"/>
              <w:rPr>
                <w:sz w:val="16"/>
                <w:szCs w:val="16"/>
              </w:rPr>
            </w:pPr>
            <w:r>
              <w:rPr>
                <w:sz w:val="16"/>
                <w:szCs w:val="16"/>
              </w:rPr>
              <w:t xml:space="preserve">This then </w:t>
            </w:r>
            <w:r w:rsidR="00A408C7">
              <w:rPr>
                <w:sz w:val="16"/>
                <w:szCs w:val="16"/>
              </w:rPr>
              <w:t xml:space="preserve">would </w:t>
            </w:r>
            <w:r w:rsidR="00B81A94" w:rsidRPr="00183F63">
              <w:rPr>
                <w:sz w:val="16"/>
                <w:szCs w:val="16"/>
              </w:rPr>
              <w:t>bring</w:t>
            </w:r>
            <w:r w:rsidR="00A408C7">
              <w:rPr>
                <w:sz w:val="16"/>
                <w:szCs w:val="16"/>
              </w:rPr>
              <w:t xml:space="preserve"> </w:t>
            </w:r>
            <w:r w:rsidR="00B81A94" w:rsidRPr="00183F63">
              <w:rPr>
                <w:sz w:val="16"/>
                <w:szCs w:val="16"/>
              </w:rPr>
              <w:t xml:space="preserve">into question </w:t>
            </w:r>
            <w:r w:rsidR="001D7EFE" w:rsidRPr="00183F63">
              <w:rPr>
                <w:sz w:val="16"/>
                <w:szCs w:val="16"/>
              </w:rPr>
              <w:t>what parameters needs to be checked</w:t>
            </w:r>
            <w:r w:rsidR="002F3810">
              <w:rPr>
                <w:sz w:val="16"/>
                <w:szCs w:val="16"/>
              </w:rPr>
              <w:t xml:space="preserve">, </w:t>
            </w:r>
            <w:r w:rsidR="00B81A94" w:rsidRPr="00183F63">
              <w:rPr>
                <w:sz w:val="16"/>
                <w:szCs w:val="16"/>
              </w:rPr>
              <w:t>how</w:t>
            </w:r>
            <w:r w:rsidR="00A124F9">
              <w:rPr>
                <w:sz w:val="16"/>
                <w:szCs w:val="16"/>
              </w:rPr>
              <w:t>/when</w:t>
            </w:r>
            <w:r w:rsidR="002F3810">
              <w:rPr>
                <w:sz w:val="16"/>
                <w:szCs w:val="16"/>
              </w:rPr>
              <w:t>, including guidelines for the</w:t>
            </w:r>
            <w:r w:rsidR="00A408C7">
              <w:rPr>
                <w:sz w:val="16"/>
                <w:szCs w:val="16"/>
              </w:rPr>
              <w:t xml:space="preserve"> DOEs/VVBs</w:t>
            </w:r>
            <w:r w:rsidR="001D7EFE">
              <w:rPr>
                <w:sz w:val="16"/>
                <w:szCs w:val="16"/>
              </w:rPr>
              <w:t>,</w:t>
            </w:r>
            <w:r w:rsidR="002F3810">
              <w:rPr>
                <w:sz w:val="16"/>
                <w:szCs w:val="16"/>
              </w:rPr>
              <w:t xml:space="preserve"> with clear </w:t>
            </w:r>
            <w:r w:rsidR="001D7EFE">
              <w:rPr>
                <w:sz w:val="16"/>
                <w:szCs w:val="16"/>
              </w:rPr>
              <w:t>punitive and non-punitive measures</w:t>
            </w:r>
            <w:r w:rsidR="002F3810">
              <w:rPr>
                <w:sz w:val="16"/>
                <w:szCs w:val="16"/>
              </w:rPr>
              <w:t xml:space="preserve"> – for all the stakeholders involved. </w:t>
            </w:r>
          </w:p>
          <w:p w14:paraId="3CE32712" w14:textId="169B0A2C" w:rsidR="00AE3AA3" w:rsidRPr="00183F63" w:rsidRDefault="00AE3AA3" w:rsidP="00D86D68">
            <w:pPr>
              <w:keepLines/>
              <w:spacing w:before="40" w:after="40" w:line="190" w:lineRule="exact"/>
              <w:jc w:val="left"/>
              <w:rPr>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715EA2EC" w14:textId="77777777" w:rsidR="00AE3AA3" w:rsidRPr="00183F63" w:rsidRDefault="00AE3AA3" w:rsidP="00D86D68">
            <w:pPr>
              <w:keepLines/>
              <w:spacing w:before="40" w:after="40" w:line="190" w:lineRule="exact"/>
              <w:jc w:val="left"/>
              <w:rPr>
                <w:sz w:val="16"/>
                <w:szCs w:val="16"/>
              </w:rPr>
            </w:pPr>
          </w:p>
        </w:tc>
      </w:tr>
    </w:tbl>
    <w:p w14:paraId="0F3052D2" w14:textId="77777777" w:rsidR="004B7B61" w:rsidRPr="004B7B61" w:rsidRDefault="004B7B61" w:rsidP="004B7B61"/>
    <w:p w14:paraId="25A2D6A4" w14:textId="0E2F20A2" w:rsidR="004B7B61" w:rsidRPr="004B7B61" w:rsidRDefault="004B7B61" w:rsidP="004B7B61"/>
    <w:sectPr w:rsidR="004B7B61" w:rsidRPr="004B7B61">
      <w:headerReference w:type="default" r:id="rId11"/>
      <w:footerReference w:type="even" r:id="rId12"/>
      <w:footerReference w:type="default" r:id="rId13"/>
      <w:type w:val="continuous"/>
      <w:pgSz w:w="16840" w:h="11907" w:orient="landscape" w:code="9"/>
      <w:pgMar w:top="576" w:right="994" w:bottom="850" w:left="850" w:header="562" w:footer="562" w:gutter="0"/>
      <w:pgNumType w:start="1"/>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AFA1CE" w14:textId="77777777" w:rsidR="00577CBD" w:rsidRDefault="00577CBD" w:rsidP="00DF4F6B">
      <w:r>
        <w:separator/>
      </w:r>
    </w:p>
  </w:endnote>
  <w:endnote w:type="continuationSeparator" w:id="0">
    <w:p w14:paraId="77610179" w14:textId="77777777" w:rsidR="00577CBD" w:rsidRDefault="00577CBD" w:rsidP="00DF4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BD56D" w14:textId="77777777" w:rsidR="00F37030" w:rsidRDefault="00F37030" w:rsidP="009E2F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37A50B" w14:textId="77777777" w:rsidR="00F37030" w:rsidRDefault="00F37030" w:rsidP="00DF4E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1247C" w14:textId="77777777" w:rsidR="00F37030" w:rsidRDefault="00F37030" w:rsidP="009E2F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4F18954" w14:textId="77777777" w:rsidR="00F37030" w:rsidRDefault="00F37030" w:rsidP="00DF4E0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2BBD35" w14:textId="77777777" w:rsidR="00577CBD" w:rsidRDefault="00577CBD" w:rsidP="00DF4F6B">
      <w:r>
        <w:separator/>
      </w:r>
    </w:p>
  </w:footnote>
  <w:footnote w:type="continuationSeparator" w:id="0">
    <w:p w14:paraId="4BF72188" w14:textId="77777777" w:rsidR="00577CBD" w:rsidRDefault="00577CBD" w:rsidP="00DF4F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550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8688"/>
      <w:gridCol w:w="2294"/>
      <w:gridCol w:w="4521"/>
    </w:tblGrid>
    <w:tr w:rsidR="00F37030" w14:paraId="0F8ECA1C" w14:textId="77777777">
      <w:trPr>
        <w:cantSplit/>
        <w:jc w:val="center"/>
      </w:trPr>
      <w:tc>
        <w:tcPr>
          <w:tcW w:w="8688" w:type="dxa"/>
          <w:tcBorders>
            <w:top w:val="nil"/>
            <w:left w:val="nil"/>
            <w:bottom w:val="nil"/>
            <w:right w:val="nil"/>
          </w:tcBorders>
        </w:tcPr>
        <w:p w14:paraId="643D2012" w14:textId="77777777" w:rsidR="00F37030" w:rsidRDefault="00F37030">
          <w:pPr>
            <w:pStyle w:val="ISOComments"/>
            <w:spacing w:before="60" w:after="60"/>
            <w:rPr>
              <w:sz w:val="22"/>
            </w:rPr>
          </w:pPr>
          <w:r>
            <w:rPr>
              <w:rStyle w:val="MTEquationSection"/>
              <w:b/>
              <w:bCs/>
              <w:color w:val="auto"/>
              <w:sz w:val="22"/>
              <w:szCs w:val="22"/>
            </w:rPr>
            <w:t>Template for comments</w:t>
          </w:r>
        </w:p>
      </w:tc>
      <w:tc>
        <w:tcPr>
          <w:tcW w:w="2294" w:type="dxa"/>
          <w:tcBorders>
            <w:top w:val="single" w:sz="6" w:space="0" w:color="auto"/>
            <w:left w:val="single" w:sz="6" w:space="0" w:color="auto"/>
            <w:bottom w:val="single" w:sz="6" w:space="0" w:color="auto"/>
            <w:right w:val="single" w:sz="6" w:space="0" w:color="auto"/>
          </w:tcBorders>
        </w:tcPr>
        <w:p w14:paraId="18044243" w14:textId="1F1BCB5F" w:rsidR="00F37030" w:rsidRPr="00777AC5" w:rsidRDefault="00F37030">
          <w:pPr>
            <w:pStyle w:val="ISOChange"/>
            <w:spacing w:before="60" w:after="60"/>
            <w:rPr>
              <w:b/>
              <w:sz w:val="22"/>
            </w:rPr>
          </w:pPr>
          <w:r w:rsidRPr="00777AC5">
            <w:rPr>
              <w:b/>
              <w:sz w:val="22"/>
            </w:rPr>
            <w:t xml:space="preserve">Date: </w:t>
          </w:r>
          <w:r w:rsidR="00571F50">
            <w:rPr>
              <w:b/>
              <w:sz w:val="22"/>
            </w:rPr>
            <w:t>25/07/2024</w:t>
          </w:r>
        </w:p>
      </w:tc>
      <w:tc>
        <w:tcPr>
          <w:tcW w:w="4521" w:type="dxa"/>
          <w:tcBorders>
            <w:top w:val="single" w:sz="6" w:space="0" w:color="auto"/>
            <w:left w:val="single" w:sz="6" w:space="0" w:color="auto"/>
            <w:bottom w:val="single" w:sz="6" w:space="0" w:color="auto"/>
            <w:right w:val="single" w:sz="6" w:space="0" w:color="auto"/>
          </w:tcBorders>
        </w:tcPr>
        <w:p w14:paraId="766EB125" w14:textId="77777777" w:rsidR="00F37030" w:rsidRDefault="00F37030">
          <w:pPr>
            <w:pStyle w:val="ISOSecretObservations"/>
            <w:spacing w:before="60" w:after="60"/>
            <w:rPr>
              <w:b/>
              <w:bCs/>
              <w:sz w:val="22"/>
              <w:szCs w:val="20"/>
            </w:rPr>
          </w:pPr>
          <w:r>
            <w:rPr>
              <w:b/>
              <w:bCs/>
              <w:sz w:val="22"/>
            </w:rPr>
            <w:t>Document:</w:t>
          </w:r>
          <w:r>
            <w:rPr>
              <w:b/>
              <w:bCs/>
              <w:sz w:val="22"/>
              <w:szCs w:val="20"/>
            </w:rPr>
            <w:t xml:space="preserve">  </w:t>
          </w:r>
        </w:p>
      </w:tc>
    </w:tr>
  </w:tbl>
  <w:p w14:paraId="73EC5CC6" w14:textId="77777777" w:rsidR="00F37030" w:rsidRDefault="00F37030">
    <w:pPr>
      <w:pStyle w:val="Header"/>
    </w:pPr>
  </w:p>
  <w:p w14:paraId="4DB01882" w14:textId="77777777" w:rsidR="00F37030" w:rsidRDefault="00F37030">
    <w:pPr>
      <w:pStyle w:val="Header"/>
      <w:rPr>
        <w:sz w:val="2"/>
        <w:szCs w:val="2"/>
      </w:rPr>
    </w:pPr>
  </w:p>
  <w:p w14:paraId="77A90160" w14:textId="77777777" w:rsidR="00F37030" w:rsidRDefault="00F37030">
    <w:pPr>
      <w:pStyle w:val="Header"/>
      <w:spacing w:line="14" w:lineRule="exact"/>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7E2E3D"/>
    <w:multiLevelType w:val="hybridMultilevel"/>
    <w:tmpl w:val="AD10C3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C2C752F"/>
    <w:multiLevelType w:val="multilevel"/>
    <w:tmpl w:val="CB2625E2"/>
    <w:lvl w:ilvl="0">
      <w:start w:val="1"/>
      <w:numFmt w:val="upperRoman"/>
      <w:pStyle w:val="StyleRegHead111pt"/>
      <w:suff w:val="space"/>
      <w:lvlText w:val="%1. "/>
      <w:lvlJc w:val="center"/>
      <w:pPr>
        <w:ind w:left="0" w:firstLine="0"/>
      </w:pPr>
      <w:rPr>
        <w:rFonts w:hint="default"/>
        <w:b/>
        <w:i w:val="0"/>
        <w:sz w:val="22"/>
      </w:rPr>
    </w:lvl>
    <w:lvl w:ilvl="1">
      <w:start w:val="1"/>
      <w:numFmt w:val="upperLetter"/>
      <w:pStyle w:val="RegHead2"/>
      <w:suff w:val="space"/>
      <w:lvlText w:val="%2. "/>
      <w:lvlJc w:val="center"/>
      <w:pPr>
        <w:ind w:left="0" w:firstLine="0"/>
      </w:pPr>
      <w:rPr>
        <w:rFonts w:hint="default"/>
        <w:b/>
        <w:sz w:val="22"/>
        <w:u w:val="none"/>
      </w:rPr>
    </w:lvl>
    <w:lvl w:ilvl="2">
      <w:start w:val="1"/>
      <w:numFmt w:val="decimal"/>
      <w:pStyle w:val="RegHead3"/>
      <w:suff w:val="space"/>
      <w:lvlText w:val="%3. "/>
      <w:lvlJc w:val="center"/>
      <w:pPr>
        <w:ind w:left="0" w:firstLine="0"/>
      </w:pPr>
      <w:rPr>
        <w:rFonts w:hint="default"/>
        <w:b w:val="0"/>
        <w:sz w:val="22"/>
        <w:u w:val="none"/>
      </w:rPr>
    </w:lvl>
    <w:lvl w:ilvl="3">
      <w:start w:val="1"/>
      <w:numFmt w:val="decimal"/>
      <w:lvlRestart w:val="0"/>
      <w:pStyle w:val="RegPara"/>
      <w:lvlText w:val="%4."/>
      <w:lvlJc w:val="left"/>
      <w:pPr>
        <w:tabs>
          <w:tab w:val="num" w:pos="720"/>
        </w:tabs>
        <w:ind w:left="0" w:firstLine="0"/>
      </w:pPr>
      <w:rPr>
        <w:rFonts w:hint="default"/>
        <w:b w:val="0"/>
        <w:sz w:val="22"/>
      </w:rPr>
    </w:lvl>
    <w:lvl w:ilvl="4">
      <w:start w:val="1"/>
      <w:numFmt w:val="lowerLetter"/>
      <w:lvlText w:val="(%5)"/>
      <w:lvlJc w:val="left"/>
      <w:pPr>
        <w:tabs>
          <w:tab w:val="num" w:pos="1440"/>
        </w:tabs>
        <w:ind w:left="1440" w:hanging="720"/>
      </w:pPr>
      <w:rPr>
        <w:rFonts w:hint="default"/>
        <w:b w:val="0"/>
        <w:sz w:val="22"/>
      </w:rPr>
    </w:lvl>
    <w:lvl w:ilvl="5">
      <w:start w:val="1"/>
      <w:numFmt w:val="lowerRoman"/>
      <w:lvlText w:val="(%6)"/>
      <w:lvlJc w:val="right"/>
      <w:pPr>
        <w:tabs>
          <w:tab w:val="num" w:pos="2160"/>
        </w:tabs>
        <w:ind w:left="2160" w:hanging="573"/>
      </w:pPr>
      <w:rPr>
        <w:rFonts w:hint="default"/>
      </w:r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rPr>
        <w:rFonts w:hint="default"/>
      </w:rPr>
    </w:lvl>
    <w:lvl w:ilvl="8">
      <w:start w:val="1"/>
      <w:numFmt w:val="none"/>
      <w:lvlText w:val="[(%5)%9"/>
      <w:lvlJc w:val="left"/>
      <w:pPr>
        <w:tabs>
          <w:tab w:val="num" w:pos="1440"/>
        </w:tabs>
        <w:ind w:left="1440" w:hanging="720"/>
      </w:pPr>
      <w:rPr>
        <w:rFonts w:hint="default"/>
      </w:rPr>
    </w:lvl>
  </w:abstractNum>
  <w:num w:numId="1" w16cid:durableId="301229697">
    <w:abstractNumId w:val="1"/>
  </w:num>
  <w:num w:numId="2" w16cid:durableId="1625424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974ISO" w:val="-1"/>
  </w:docVars>
  <w:rsids>
    <w:rsidRoot w:val="004248BD"/>
    <w:rsid w:val="0000238A"/>
    <w:rsid w:val="00005739"/>
    <w:rsid w:val="00006058"/>
    <w:rsid w:val="00012159"/>
    <w:rsid w:val="000129AC"/>
    <w:rsid w:val="00020ABE"/>
    <w:rsid w:val="000214C8"/>
    <w:rsid w:val="00021536"/>
    <w:rsid w:val="000230C8"/>
    <w:rsid w:val="00024DA3"/>
    <w:rsid w:val="0002613D"/>
    <w:rsid w:val="00027E3B"/>
    <w:rsid w:val="000310D8"/>
    <w:rsid w:val="000323B0"/>
    <w:rsid w:val="000352D6"/>
    <w:rsid w:val="00035F7D"/>
    <w:rsid w:val="000404B6"/>
    <w:rsid w:val="00040977"/>
    <w:rsid w:val="00044598"/>
    <w:rsid w:val="00044788"/>
    <w:rsid w:val="00045CF4"/>
    <w:rsid w:val="00050F16"/>
    <w:rsid w:val="00052615"/>
    <w:rsid w:val="0005561A"/>
    <w:rsid w:val="00057FB7"/>
    <w:rsid w:val="00065ADE"/>
    <w:rsid w:val="00067F5E"/>
    <w:rsid w:val="00070E2F"/>
    <w:rsid w:val="00076955"/>
    <w:rsid w:val="0008222C"/>
    <w:rsid w:val="00082782"/>
    <w:rsid w:val="000843C5"/>
    <w:rsid w:val="00084AC3"/>
    <w:rsid w:val="000861A8"/>
    <w:rsid w:val="00090CB3"/>
    <w:rsid w:val="00093C00"/>
    <w:rsid w:val="0009469A"/>
    <w:rsid w:val="000969F6"/>
    <w:rsid w:val="000A1282"/>
    <w:rsid w:val="000A2B2E"/>
    <w:rsid w:val="000B0569"/>
    <w:rsid w:val="000B15A3"/>
    <w:rsid w:val="000B3C1B"/>
    <w:rsid w:val="000B712A"/>
    <w:rsid w:val="000C53E5"/>
    <w:rsid w:val="000C6871"/>
    <w:rsid w:val="000D1ED5"/>
    <w:rsid w:val="000D20D3"/>
    <w:rsid w:val="000D5FD6"/>
    <w:rsid w:val="000E046F"/>
    <w:rsid w:val="000F3038"/>
    <w:rsid w:val="000F6AE7"/>
    <w:rsid w:val="000F787F"/>
    <w:rsid w:val="00103DCB"/>
    <w:rsid w:val="00110654"/>
    <w:rsid w:val="00112B92"/>
    <w:rsid w:val="00117A2A"/>
    <w:rsid w:val="00121BAD"/>
    <w:rsid w:val="00131057"/>
    <w:rsid w:val="00131225"/>
    <w:rsid w:val="00131BBE"/>
    <w:rsid w:val="00132899"/>
    <w:rsid w:val="0013299B"/>
    <w:rsid w:val="00132F4F"/>
    <w:rsid w:val="00134C16"/>
    <w:rsid w:val="00134E60"/>
    <w:rsid w:val="00136A6A"/>
    <w:rsid w:val="00137B2D"/>
    <w:rsid w:val="001412D1"/>
    <w:rsid w:val="00150408"/>
    <w:rsid w:val="001509DB"/>
    <w:rsid w:val="0015196C"/>
    <w:rsid w:val="00153B61"/>
    <w:rsid w:val="00155B77"/>
    <w:rsid w:val="00162354"/>
    <w:rsid w:val="00170ECC"/>
    <w:rsid w:val="001721B5"/>
    <w:rsid w:val="00174162"/>
    <w:rsid w:val="00174DF6"/>
    <w:rsid w:val="0017739E"/>
    <w:rsid w:val="00177FA2"/>
    <w:rsid w:val="00182C51"/>
    <w:rsid w:val="00183F63"/>
    <w:rsid w:val="00187ACE"/>
    <w:rsid w:val="00196015"/>
    <w:rsid w:val="00196FC5"/>
    <w:rsid w:val="001A0B85"/>
    <w:rsid w:val="001A3D7A"/>
    <w:rsid w:val="001A3E3A"/>
    <w:rsid w:val="001A7553"/>
    <w:rsid w:val="001B10F9"/>
    <w:rsid w:val="001B1364"/>
    <w:rsid w:val="001B2022"/>
    <w:rsid w:val="001B238B"/>
    <w:rsid w:val="001B31A6"/>
    <w:rsid w:val="001B51C7"/>
    <w:rsid w:val="001B597B"/>
    <w:rsid w:val="001B5A62"/>
    <w:rsid w:val="001B6E7B"/>
    <w:rsid w:val="001C311D"/>
    <w:rsid w:val="001C3348"/>
    <w:rsid w:val="001D0F91"/>
    <w:rsid w:val="001D20CC"/>
    <w:rsid w:val="001D7EFE"/>
    <w:rsid w:val="001E04AE"/>
    <w:rsid w:val="001E36EF"/>
    <w:rsid w:val="001E3876"/>
    <w:rsid w:val="001F2244"/>
    <w:rsid w:val="001F4266"/>
    <w:rsid w:val="001F6BC7"/>
    <w:rsid w:val="001F7611"/>
    <w:rsid w:val="00201690"/>
    <w:rsid w:val="00203A4E"/>
    <w:rsid w:val="002053B5"/>
    <w:rsid w:val="00205F95"/>
    <w:rsid w:val="002162A2"/>
    <w:rsid w:val="00221645"/>
    <w:rsid w:val="0022301F"/>
    <w:rsid w:val="00223172"/>
    <w:rsid w:val="00226219"/>
    <w:rsid w:val="002270D2"/>
    <w:rsid w:val="0023172D"/>
    <w:rsid w:val="00243E2B"/>
    <w:rsid w:val="00253F94"/>
    <w:rsid w:val="0025403A"/>
    <w:rsid w:val="00255CEA"/>
    <w:rsid w:val="00256488"/>
    <w:rsid w:val="00257AEA"/>
    <w:rsid w:val="0026265C"/>
    <w:rsid w:val="00262DB6"/>
    <w:rsid w:val="0026738E"/>
    <w:rsid w:val="0027161D"/>
    <w:rsid w:val="00271C70"/>
    <w:rsid w:val="0027377B"/>
    <w:rsid w:val="0027391C"/>
    <w:rsid w:val="00273CAD"/>
    <w:rsid w:val="00273F0B"/>
    <w:rsid w:val="00276E45"/>
    <w:rsid w:val="0028475E"/>
    <w:rsid w:val="0029172E"/>
    <w:rsid w:val="00293A01"/>
    <w:rsid w:val="002943F0"/>
    <w:rsid w:val="00297D89"/>
    <w:rsid w:val="002A01A2"/>
    <w:rsid w:val="002A073D"/>
    <w:rsid w:val="002A3569"/>
    <w:rsid w:val="002B1F92"/>
    <w:rsid w:val="002B481D"/>
    <w:rsid w:val="002C1DC6"/>
    <w:rsid w:val="002C3D0B"/>
    <w:rsid w:val="002C7CE4"/>
    <w:rsid w:val="002D427B"/>
    <w:rsid w:val="002D590F"/>
    <w:rsid w:val="002D5D97"/>
    <w:rsid w:val="002E35A6"/>
    <w:rsid w:val="002E6BCC"/>
    <w:rsid w:val="002E743D"/>
    <w:rsid w:val="002F135C"/>
    <w:rsid w:val="002F23F4"/>
    <w:rsid w:val="002F2F13"/>
    <w:rsid w:val="002F2FEC"/>
    <w:rsid w:val="002F3810"/>
    <w:rsid w:val="002F5B9D"/>
    <w:rsid w:val="002F5FBE"/>
    <w:rsid w:val="002F74F3"/>
    <w:rsid w:val="00300426"/>
    <w:rsid w:val="00302A3E"/>
    <w:rsid w:val="003056FC"/>
    <w:rsid w:val="00312698"/>
    <w:rsid w:val="0031612D"/>
    <w:rsid w:val="00316FF8"/>
    <w:rsid w:val="00320FFE"/>
    <w:rsid w:val="0032319C"/>
    <w:rsid w:val="003300BD"/>
    <w:rsid w:val="00330731"/>
    <w:rsid w:val="00331CBE"/>
    <w:rsid w:val="00337204"/>
    <w:rsid w:val="0033792A"/>
    <w:rsid w:val="00340B9F"/>
    <w:rsid w:val="0034280E"/>
    <w:rsid w:val="00344DDE"/>
    <w:rsid w:val="00350A36"/>
    <w:rsid w:val="003527B6"/>
    <w:rsid w:val="003527FC"/>
    <w:rsid w:val="0036059F"/>
    <w:rsid w:val="00360E0E"/>
    <w:rsid w:val="003613FB"/>
    <w:rsid w:val="00363FCF"/>
    <w:rsid w:val="003640B2"/>
    <w:rsid w:val="00366989"/>
    <w:rsid w:val="00366FD7"/>
    <w:rsid w:val="00371B9C"/>
    <w:rsid w:val="00373CDE"/>
    <w:rsid w:val="0037475A"/>
    <w:rsid w:val="00374F1D"/>
    <w:rsid w:val="00386BC4"/>
    <w:rsid w:val="00396C27"/>
    <w:rsid w:val="00397EBC"/>
    <w:rsid w:val="003A2C6D"/>
    <w:rsid w:val="003A438F"/>
    <w:rsid w:val="003A4CC3"/>
    <w:rsid w:val="003B20B7"/>
    <w:rsid w:val="003B4D60"/>
    <w:rsid w:val="003C3524"/>
    <w:rsid w:val="003C45B0"/>
    <w:rsid w:val="003D227D"/>
    <w:rsid w:val="003D3316"/>
    <w:rsid w:val="003D6470"/>
    <w:rsid w:val="003D6D04"/>
    <w:rsid w:val="003E44C4"/>
    <w:rsid w:val="003E60AF"/>
    <w:rsid w:val="003F04CC"/>
    <w:rsid w:val="003F3152"/>
    <w:rsid w:val="003F4F8D"/>
    <w:rsid w:val="00400920"/>
    <w:rsid w:val="00400EBA"/>
    <w:rsid w:val="00402C9B"/>
    <w:rsid w:val="00404D71"/>
    <w:rsid w:val="00405FB3"/>
    <w:rsid w:val="004122F6"/>
    <w:rsid w:val="0041287F"/>
    <w:rsid w:val="004147BA"/>
    <w:rsid w:val="00416F64"/>
    <w:rsid w:val="004238F2"/>
    <w:rsid w:val="004248BD"/>
    <w:rsid w:val="00426A9F"/>
    <w:rsid w:val="00426C1E"/>
    <w:rsid w:val="004331D5"/>
    <w:rsid w:val="00436207"/>
    <w:rsid w:val="00447DCA"/>
    <w:rsid w:val="00450EEA"/>
    <w:rsid w:val="00451B60"/>
    <w:rsid w:val="00462947"/>
    <w:rsid w:val="00464CDB"/>
    <w:rsid w:val="00465DC2"/>
    <w:rsid w:val="00467F7D"/>
    <w:rsid w:val="00472C3C"/>
    <w:rsid w:val="00474096"/>
    <w:rsid w:val="00477279"/>
    <w:rsid w:val="00481176"/>
    <w:rsid w:val="004845B9"/>
    <w:rsid w:val="00484F90"/>
    <w:rsid w:val="004976B4"/>
    <w:rsid w:val="004A024E"/>
    <w:rsid w:val="004A372D"/>
    <w:rsid w:val="004A7F89"/>
    <w:rsid w:val="004B1315"/>
    <w:rsid w:val="004B7373"/>
    <w:rsid w:val="004B7B61"/>
    <w:rsid w:val="004C01CA"/>
    <w:rsid w:val="004C440B"/>
    <w:rsid w:val="004D11D0"/>
    <w:rsid w:val="004E000F"/>
    <w:rsid w:val="004E2B96"/>
    <w:rsid w:val="004F1D8D"/>
    <w:rsid w:val="004F2E16"/>
    <w:rsid w:val="005006D0"/>
    <w:rsid w:val="00501D2C"/>
    <w:rsid w:val="0050456E"/>
    <w:rsid w:val="0050656B"/>
    <w:rsid w:val="00515269"/>
    <w:rsid w:val="00515708"/>
    <w:rsid w:val="00515E8E"/>
    <w:rsid w:val="0052051B"/>
    <w:rsid w:val="00521AF0"/>
    <w:rsid w:val="005242C9"/>
    <w:rsid w:val="00524994"/>
    <w:rsid w:val="00525D30"/>
    <w:rsid w:val="00532811"/>
    <w:rsid w:val="00536CBB"/>
    <w:rsid w:val="005441FD"/>
    <w:rsid w:val="00546ED6"/>
    <w:rsid w:val="00546FB4"/>
    <w:rsid w:val="005473BB"/>
    <w:rsid w:val="0055061C"/>
    <w:rsid w:val="005516E9"/>
    <w:rsid w:val="00553E87"/>
    <w:rsid w:val="00555019"/>
    <w:rsid w:val="005564DE"/>
    <w:rsid w:val="005653AB"/>
    <w:rsid w:val="00571F50"/>
    <w:rsid w:val="00577CBD"/>
    <w:rsid w:val="00580B83"/>
    <w:rsid w:val="0058498D"/>
    <w:rsid w:val="00586627"/>
    <w:rsid w:val="0058667D"/>
    <w:rsid w:val="00591C43"/>
    <w:rsid w:val="00592F09"/>
    <w:rsid w:val="00594E72"/>
    <w:rsid w:val="005950BE"/>
    <w:rsid w:val="005A127C"/>
    <w:rsid w:val="005A256D"/>
    <w:rsid w:val="005A6E4F"/>
    <w:rsid w:val="005B1074"/>
    <w:rsid w:val="005B2519"/>
    <w:rsid w:val="005B2664"/>
    <w:rsid w:val="005B79A1"/>
    <w:rsid w:val="005C00F5"/>
    <w:rsid w:val="005C4A98"/>
    <w:rsid w:val="005C635B"/>
    <w:rsid w:val="005C739F"/>
    <w:rsid w:val="005D1B45"/>
    <w:rsid w:val="005E092E"/>
    <w:rsid w:val="005E4522"/>
    <w:rsid w:val="005F0091"/>
    <w:rsid w:val="005F10BB"/>
    <w:rsid w:val="005F163D"/>
    <w:rsid w:val="005F3350"/>
    <w:rsid w:val="0060034A"/>
    <w:rsid w:val="006006BC"/>
    <w:rsid w:val="0060126E"/>
    <w:rsid w:val="0060137C"/>
    <w:rsid w:val="00603DA9"/>
    <w:rsid w:val="006059DD"/>
    <w:rsid w:val="00612AAA"/>
    <w:rsid w:val="006219BC"/>
    <w:rsid w:val="006219E3"/>
    <w:rsid w:val="00621C98"/>
    <w:rsid w:val="00622996"/>
    <w:rsid w:val="00622E8F"/>
    <w:rsid w:val="0062694C"/>
    <w:rsid w:val="00633A13"/>
    <w:rsid w:val="006416C7"/>
    <w:rsid w:val="00643637"/>
    <w:rsid w:val="00646742"/>
    <w:rsid w:val="00655DC0"/>
    <w:rsid w:val="0066234C"/>
    <w:rsid w:val="006724EE"/>
    <w:rsid w:val="00672E23"/>
    <w:rsid w:val="00674803"/>
    <w:rsid w:val="006851EB"/>
    <w:rsid w:val="00685CFB"/>
    <w:rsid w:val="00686F42"/>
    <w:rsid w:val="0069289D"/>
    <w:rsid w:val="00693F19"/>
    <w:rsid w:val="006951CA"/>
    <w:rsid w:val="006A16B2"/>
    <w:rsid w:val="006A2E75"/>
    <w:rsid w:val="006A7666"/>
    <w:rsid w:val="006B140B"/>
    <w:rsid w:val="006B2A23"/>
    <w:rsid w:val="006B614A"/>
    <w:rsid w:val="006B7520"/>
    <w:rsid w:val="006C7E8D"/>
    <w:rsid w:val="006D0849"/>
    <w:rsid w:val="006D338D"/>
    <w:rsid w:val="006D3A5B"/>
    <w:rsid w:val="006D62F6"/>
    <w:rsid w:val="006E2A11"/>
    <w:rsid w:val="006E4E55"/>
    <w:rsid w:val="006E6A10"/>
    <w:rsid w:val="006F12BE"/>
    <w:rsid w:val="006F1969"/>
    <w:rsid w:val="006F32C1"/>
    <w:rsid w:val="006F5972"/>
    <w:rsid w:val="006F7653"/>
    <w:rsid w:val="0070454F"/>
    <w:rsid w:val="0071148D"/>
    <w:rsid w:val="0071473B"/>
    <w:rsid w:val="0072007C"/>
    <w:rsid w:val="00720711"/>
    <w:rsid w:val="00722D97"/>
    <w:rsid w:val="00725870"/>
    <w:rsid w:val="007264C7"/>
    <w:rsid w:val="007267EF"/>
    <w:rsid w:val="007317EF"/>
    <w:rsid w:val="0074270A"/>
    <w:rsid w:val="00743300"/>
    <w:rsid w:val="00743F65"/>
    <w:rsid w:val="007537F4"/>
    <w:rsid w:val="0075494A"/>
    <w:rsid w:val="007567AE"/>
    <w:rsid w:val="007650DE"/>
    <w:rsid w:val="00766AFF"/>
    <w:rsid w:val="00770B83"/>
    <w:rsid w:val="0077206E"/>
    <w:rsid w:val="00776670"/>
    <w:rsid w:val="00777AC5"/>
    <w:rsid w:val="007803EF"/>
    <w:rsid w:val="00781093"/>
    <w:rsid w:val="00785A65"/>
    <w:rsid w:val="0079239A"/>
    <w:rsid w:val="00794DFF"/>
    <w:rsid w:val="0079741C"/>
    <w:rsid w:val="007A4A4D"/>
    <w:rsid w:val="007A54EB"/>
    <w:rsid w:val="007A7DDE"/>
    <w:rsid w:val="007D3BF0"/>
    <w:rsid w:val="007D586A"/>
    <w:rsid w:val="007D6248"/>
    <w:rsid w:val="007D77F2"/>
    <w:rsid w:val="007E37DD"/>
    <w:rsid w:val="007E7B9F"/>
    <w:rsid w:val="007F0CD5"/>
    <w:rsid w:val="007F16D5"/>
    <w:rsid w:val="007F2B57"/>
    <w:rsid w:val="007F4C2B"/>
    <w:rsid w:val="007F52D2"/>
    <w:rsid w:val="007F6C39"/>
    <w:rsid w:val="008009EC"/>
    <w:rsid w:val="00810890"/>
    <w:rsid w:val="00810E5A"/>
    <w:rsid w:val="0081102C"/>
    <w:rsid w:val="00813AA0"/>
    <w:rsid w:val="008172BE"/>
    <w:rsid w:val="008175D0"/>
    <w:rsid w:val="008236D3"/>
    <w:rsid w:val="008315A7"/>
    <w:rsid w:val="00833508"/>
    <w:rsid w:val="008351A3"/>
    <w:rsid w:val="00835F35"/>
    <w:rsid w:val="0083626F"/>
    <w:rsid w:val="008365B9"/>
    <w:rsid w:val="00837AA8"/>
    <w:rsid w:val="00841D26"/>
    <w:rsid w:val="00842622"/>
    <w:rsid w:val="008459BB"/>
    <w:rsid w:val="00850187"/>
    <w:rsid w:val="00850A38"/>
    <w:rsid w:val="00852639"/>
    <w:rsid w:val="00853942"/>
    <w:rsid w:val="00854DE1"/>
    <w:rsid w:val="00856781"/>
    <w:rsid w:val="0086107E"/>
    <w:rsid w:val="00862920"/>
    <w:rsid w:val="00862B92"/>
    <w:rsid w:val="00863150"/>
    <w:rsid w:val="008650F8"/>
    <w:rsid w:val="008658F6"/>
    <w:rsid w:val="00872049"/>
    <w:rsid w:val="0087238A"/>
    <w:rsid w:val="00873EE2"/>
    <w:rsid w:val="00883421"/>
    <w:rsid w:val="00884308"/>
    <w:rsid w:val="00890E07"/>
    <w:rsid w:val="00891CDD"/>
    <w:rsid w:val="0089349E"/>
    <w:rsid w:val="00897005"/>
    <w:rsid w:val="00897F4A"/>
    <w:rsid w:val="008A1C38"/>
    <w:rsid w:val="008A4F5F"/>
    <w:rsid w:val="008A74EE"/>
    <w:rsid w:val="008B720E"/>
    <w:rsid w:val="008C08A8"/>
    <w:rsid w:val="008C1ADD"/>
    <w:rsid w:val="008C2258"/>
    <w:rsid w:val="008C5403"/>
    <w:rsid w:val="008C693D"/>
    <w:rsid w:val="008D18EF"/>
    <w:rsid w:val="008D2AED"/>
    <w:rsid w:val="008D633A"/>
    <w:rsid w:val="008D753A"/>
    <w:rsid w:val="008E00F0"/>
    <w:rsid w:val="008E042B"/>
    <w:rsid w:val="008E343B"/>
    <w:rsid w:val="008E34EC"/>
    <w:rsid w:val="008E3BC0"/>
    <w:rsid w:val="008E5D11"/>
    <w:rsid w:val="008F009A"/>
    <w:rsid w:val="008F1EB6"/>
    <w:rsid w:val="009005BB"/>
    <w:rsid w:val="0090086E"/>
    <w:rsid w:val="00901453"/>
    <w:rsid w:val="009177A1"/>
    <w:rsid w:val="009221E9"/>
    <w:rsid w:val="00925D3B"/>
    <w:rsid w:val="00926D5D"/>
    <w:rsid w:val="0092725A"/>
    <w:rsid w:val="00931AAA"/>
    <w:rsid w:val="00932DE3"/>
    <w:rsid w:val="00933581"/>
    <w:rsid w:val="0093437E"/>
    <w:rsid w:val="009405D9"/>
    <w:rsid w:val="00941825"/>
    <w:rsid w:val="0094305E"/>
    <w:rsid w:val="00943E74"/>
    <w:rsid w:val="00944108"/>
    <w:rsid w:val="009460A3"/>
    <w:rsid w:val="00946D38"/>
    <w:rsid w:val="00950B8C"/>
    <w:rsid w:val="009549F7"/>
    <w:rsid w:val="00955E18"/>
    <w:rsid w:val="00956A4A"/>
    <w:rsid w:val="00956A8C"/>
    <w:rsid w:val="00956C89"/>
    <w:rsid w:val="00957455"/>
    <w:rsid w:val="00961895"/>
    <w:rsid w:val="00964816"/>
    <w:rsid w:val="0097067B"/>
    <w:rsid w:val="00976CF8"/>
    <w:rsid w:val="00981D31"/>
    <w:rsid w:val="00984CC1"/>
    <w:rsid w:val="00987911"/>
    <w:rsid w:val="009902C8"/>
    <w:rsid w:val="00990BF4"/>
    <w:rsid w:val="009920BA"/>
    <w:rsid w:val="00995E4B"/>
    <w:rsid w:val="00996852"/>
    <w:rsid w:val="00996FA7"/>
    <w:rsid w:val="00997605"/>
    <w:rsid w:val="009976B2"/>
    <w:rsid w:val="009A085F"/>
    <w:rsid w:val="009A13A5"/>
    <w:rsid w:val="009B021C"/>
    <w:rsid w:val="009B0472"/>
    <w:rsid w:val="009B486F"/>
    <w:rsid w:val="009B6083"/>
    <w:rsid w:val="009C084B"/>
    <w:rsid w:val="009C270D"/>
    <w:rsid w:val="009C2A0B"/>
    <w:rsid w:val="009D0644"/>
    <w:rsid w:val="009D0F11"/>
    <w:rsid w:val="009D4D33"/>
    <w:rsid w:val="009E2FBD"/>
    <w:rsid w:val="009F4199"/>
    <w:rsid w:val="009F61CD"/>
    <w:rsid w:val="009F63A5"/>
    <w:rsid w:val="009F722B"/>
    <w:rsid w:val="00A02921"/>
    <w:rsid w:val="00A02E1D"/>
    <w:rsid w:val="00A04E42"/>
    <w:rsid w:val="00A124F9"/>
    <w:rsid w:val="00A13B92"/>
    <w:rsid w:val="00A209CE"/>
    <w:rsid w:val="00A21DD3"/>
    <w:rsid w:val="00A24CE5"/>
    <w:rsid w:val="00A25148"/>
    <w:rsid w:val="00A30508"/>
    <w:rsid w:val="00A408C7"/>
    <w:rsid w:val="00A430E7"/>
    <w:rsid w:val="00A43B75"/>
    <w:rsid w:val="00A44979"/>
    <w:rsid w:val="00A454D1"/>
    <w:rsid w:val="00A50A41"/>
    <w:rsid w:val="00A51C40"/>
    <w:rsid w:val="00A51F6F"/>
    <w:rsid w:val="00A52F03"/>
    <w:rsid w:val="00A533A7"/>
    <w:rsid w:val="00A5689F"/>
    <w:rsid w:val="00A56DC2"/>
    <w:rsid w:val="00A62ECD"/>
    <w:rsid w:val="00A66649"/>
    <w:rsid w:val="00A67769"/>
    <w:rsid w:val="00A73911"/>
    <w:rsid w:val="00A74EDE"/>
    <w:rsid w:val="00A77D63"/>
    <w:rsid w:val="00A87AF6"/>
    <w:rsid w:val="00A90C3A"/>
    <w:rsid w:val="00A94B98"/>
    <w:rsid w:val="00A96986"/>
    <w:rsid w:val="00A97EEE"/>
    <w:rsid w:val="00AA0D5E"/>
    <w:rsid w:val="00AA26E8"/>
    <w:rsid w:val="00AA44DD"/>
    <w:rsid w:val="00AA55C1"/>
    <w:rsid w:val="00AB1E17"/>
    <w:rsid w:val="00AB267D"/>
    <w:rsid w:val="00AB46A0"/>
    <w:rsid w:val="00AB6422"/>
    <w:rsid w:val="00AB70CB"/>
    <w:rsid w:val="00AC05CC"/>
    <w:rsid w:val="00AC31FA"/>
    <w:rsid w:val="00AC3E09"/>
    <w:rsid w:val="00AD0B29"/>
    <w:rsid w:val="00AD0CC6"/>
    <w:rsid w:val="00AD1E2B"/>
    <w:rsid w:val="00AE0010"/>
    <w:rsid w:val="00AE2FDC"/>
    <w:rsid w:val="00AE3AA3"/>
    <w:rsid w:val="00AF028B"/>
    <w:rsid w:val="00AF07CB"/>
    <w:rsid w:val="00AF0CAB"/>
    <w:rsid w:val="00AF1376"/>
    <w:rsid w:val="00AF6DBF"/>
    <w:rsid w:val="00B01768"/>
    <w:rsid w:val="00B05BDA"/>
    <w:rsid w:val="00B17788"/>
    <w:rsid w:val="00B22FC1"/>
    <w:rsid w:val="00B23892"/>
    <w:rsid w:val="00B32CA0"/>
    <w:rsid w:val="00B33329"/>
    <w:rsid w:val="00B3675F"/>
    <w:rsid w:val="00B3792D"/>
    <w:rsid w:val="00B4188A"/>
    <w:rsid w:val="00B446BB"/>
    <w:rsid w:val="00B53B33"/>
    <w:rsid w:val="00B53DA2"/>
    <w:rsid w:val="00B55BB0"/>
    <w:rsid w:val="00B620C1"/>
    <w:rsid w:val="00B624A2"/>
    <w:rsid w:val="00B650DF"/>
    <w:rsid w:val="00B66872"/>
    <w:rsid w:val="00B76CD0"/>
    <w:rsid w:val="00B81A94"/>
    <w:rsid w:val="00B87B33"/>
    <w:rsid w:val="00B92544"/>
    <w:rsid w:val="00B94B34"/>
    <w:rsid w:val="00B96F45"/>
    <w:rsid w:val="00BA295A"/>
    <w:rsid w:val="00BA2EE3"/>
    <w:rsid w:val="00BA53BB"/>
    <w:rsid w:val="00BB141B"/>
    <w:rsid w:val="00BB5429"/>
    <w:rsid w:val="00BC1BAB"/>
    <w:rsid w:val="00BC3348"/>
    <w:rsid w:val="00BC661A"/>
    <w:rsid w:val="00BD17D0"/>
    <w:rsid w:val="00BD55B6"/>
    <w:rsid w:val="00BE04DE"/>
    <w:rsid w:val="00BE0AE1"/>
    <w:rsid w:val="00BE0D93"/>
    <w:rsid w:val="00BF1965"/>
    <w:rsid w:val="00BF5227"/>
    <w:rsid w:val="00BF5395"/>
    <w:rsid w:val="00BF7DC4"/>
    <w:rsid w:val="00C00026"/>
    <w:rsid w:val="00C00189"/>
    <w:rsid w:val="00C01EED"/>
    <w:rsid w:val="00C20C1A"/>
    <w:rsid w:val="00C212AB"/>
    <w:rsid w:val="00C21D23"/>
    <w:rsid w:val="00C2511C"/>
    <w:rsid w:val="00C313CF"/>
    <w:rsid w:val="00C318EE"/>
    <w:rsid w:val="00C333CE"/>
    <w:rsid w:val="00C33E85"/>
    <w:rsid w:val="00C34405"/>
    <w:rsid w:val="00C37D08"/>
    <w:rsid w:val="00C408D1"/>
    <w:rsid w:val="00C46AE6"/>
    <w:rsid w:val="00C47A2C"/>
    <w:rsid w:val="00C516FF"/>
    <w:rsid w:val="00C5536E"/>
    <w:rsid w:val="00C630BD"/>
    <w:rsid w:val="00C64725"/>
    <w:rsid w:val="00C712D3"/>
    <w:rsid w:val="00C77D15"/>
    <w:rsid w:val="00C800CF"/>
    <w:rsid w:val="00C81611"/>
    <w:rsid w:val="00C81EE7"/>
    <w:rsid w:val="00C85A81"/>
    <w:rsid w:val="00C85AF2"/>
    <w:rsid w:val="00C85F35"/>
    <w:rsid w:val="00C86D9F"/>
    <w:rsid w:val="00C872E7"/>
    <w:rsid w:val="00C9056C"/>
    <w:rsid w:val="00C90B71"/>
    <w:rsid w:val="00C9332F"/>
    <w:rsid w:val="00C95A8F"/>
    <w:rsid w:val="00C97359"/>
    <w:rsid w:val="00CB40E0"/>
    <w:rsid w:val="00CC0EB7"/>
    <w:rsid w:val="00CC1B98"/>
    <w:rsid w:val="00CC593A"/>
    <w:rsid w:val="00CD2B87"/>
    <w:rsid w:val="00CD3ED5"/>
    <w:rsid w:val="00CD5B20"/>
    <w:rsid w:val="00CD5D62"/>
    <w:rsid w:val="00CE0420"/>
    <w:rsid w:val="00CE083C"/>
    <w:rsid w:val="00CF0C1E"/>
    <w:rsid w:val="00CF155B"/>
    <w:rsid w:val="00CF194C"/>
    <w:rsid w:val="00CF780F"/>
    <w:rsid w:val="00D01D06"/>
    <w:rsid w:val="00D0526E"/>
    <w:rsid w:val="00D05E2F"/>
    <w:rsid w:val="00D131BD"/>
    <w:rsid w:val="00D1376F"/>
    <w:rsid w:val="00D16E0F"/>
    <w:rsid w:val="00D24DCD"/>
    <w:rsid w:val="00D26135"/>
    <w:rsid w:val="00D276B1"/>
    <w:rsid w:val="00D31905"/>
    <w:rsid w:val="00D3342E"/>
    <w:rsid w:val="00D357F9"/>
    <w:rsid w:val="00D366EE"/>
    <w:rsid w:val="00D36C4F"/>
    <w:rsid w:val="00D36E42"/>
    <w:rsid w:val="00D43522"/>
    <w:rsid w:val="00D454EE"/>
    <w:rsid w:val="00D528FC"/>
    <w:rsid w:val="00D56247"/>
    <w:rsid w:val="00D57018"/>
    <w:rsid w:val="00D61BBB"/>
    <w:rsid w:val="00D61E66"/>
    <w:rsid w:val="00D62565"/>
    <w:rsid w:val="00D6268F"/>
    <w:rsid w:val="00D62C03"/>
    <w:rsid w:val="00D643ED"/>
    <w:rsid w:val="00D66AB6"/>
    <w:rsid w:val="00D67FC6"/>
    <w:rsid w:val="00D701E4"/>
    <w:rsid w:val="00D70ACB"/>
    <w:rsid w:val="00D710A3"/>
    <w:rsid w:val="00D748D5"/>
    <w:rsid w:val="00D74F94"/>
    <w:rsid w:val="00D76730"/>
    <w:rsid w:val="00D77702"/>
    <w:rsid w:val="00D777F7"/>
    <w:rsid w:val="00D81864"/>
    <w:rsid w:val="00D83BBF"/>
    <w:rsid w:val="00D85D03"/>
    <w:rsid w:val="00D932F8"/>
    <w:rsid w:val="00D93DD6"/>
    <w:rsid w:val="00D94021"/>
    <w:rsid w:val="00DA0579"/>
    <w:rsid w:val="00DB4A97"/>
    <w:rsid w:val="00DC2284"/>
    <w:rsid w:val="00DC6B55"/>
    <w:rsid w:val="00DC7D87"/>
    <w:rsid w:val="00DC7D97"/>
    <w:rsid w:val="00DD4248"/>
    <w:rsid w:val="00DE1264"/>
    <w:rsid w:val="00DE56CB"/>
    <w:rsid w:val="00DE5F02"/>
    <w:rsid w:val="00DE6032"/>
    <w:rsid w:val="00DF04D8"/>
    <w:rsid w:val="00DF3FD0"/>
    <w:rsid w:val="00DF4E03"/>
    <w:rsid w:val="00DF4EE1"/>
    <w:rsid w:val="00DF4F6B"/>
    <w:rsid w:val="00E02785"/>
    <w:rsid w:val="00E03B97"/>
    <w:rsid w:val="00E05F99"/>
    <w:rsid w:val="00E10591"/>
    <w:rsid w:val="00E11050"/>
    <w:rsid w:val="00E12142"/>
    <w:rsid w:val="00E1382F"/>
    <w:rsid w:val="00E211C1"/>
    <w:rsid w:val="00E21B8D"/>
    <w:rsid w:val="00E2360B"/>
    <w:rsid w:val="00E307A0"/>
    <w:rsid w:val="00E34266"/>
    <w:rsid w:val="00E353A4"/>
    <w:rsid w:val="00E35431"/>
    <w:rsid w:val="00E36AD9"/>
    <w:rsid w:val="00E410C3"/>
    <w:rsid w:val="00E436FC"/>
    <w:rsid w:val="00E47747"/>
    <w:rsid w:val="00E52F59"/>
    <w:rsid w:val="00E53C91"/>
    <w:rsid w:val="00E55355"/>
    <w:rsid w:val="00E55970"/>
    <w:rsid w:val="00E56D50"/>
    <w:rsid w:val="00E60B07"/>
    <w:rsid w:val="00E60C4A"/>
    <w:rsid w:val="00E6388A"/>
    <w:rsid w:val="00E6490A"/>
    <w:rsid w:val="00E73BDA"/>
    <w:rsid w:val="00E760BA"/>
    <w:rsid w:val="00E80020"/>
    <w:rsid w:val="00E9188A"/>
    <w:rsid w:val="00E9194F"/>
    <w:rsid w:val="00E95E1A"/>
    <w:rsid w:val="00E95FF7"/>
    <w:rsid w:val="00E960C4"/>
    <w:rsid w:val="00E97AE7"/>
    <w:rsid w:val="00EA19F2"/>
    <w:rsid w:val="00EA1FE3"/>
    <w:rsid w:val="00EA7F48"/>
    <w:rsid w:val="00EB00BA"/>
    <w:rsid w:val="00EB1713"/>
    <w:rsid w:val="00EB3600"/>
    <w:rsid w:val="00EC1F6A"/>
    <w:rsid w:val="00EC4C89"/>
    <w:rsid w:val="00EC6749"/>
    <w:rsid w:val="00ED7834"/>
    <w:rsid w:val="00EE10ED"/>
    <w:rsid w:val="00EE130F"/>
    <w:rsid w:val="00EE3C4E"/>
    <w:rsid w:val="00EE3F35"/>
    <w:rsid w:val="00EE5FD1"/>
    <w:rsid w:val="00EF0A0D"/>
    <w:rsid w:val="00EF0D9F"/>
    <w:rsid w:val="00EF1F86"/>
    <w:rsid w:val="00EF28C0"/>
    <w:rsid w:val="00EF28D4"/>
    <w:rsid w:val="00EF2E44"/>
    <w:rsid w:val="00EF3DE5"/>
    <w:rsid w:val="00EF66C5"/>
    <w:rsid w:val="00F032FD"/>
    <w:rsid w:val="00F055B9"/>
    <w:rsid w:val="00F1204A"/>
    <w:rsid w:val="00F13FBA"/>
    <w:rsid w:val="00F14223"/>
    <w:rsid w:val="00F17C1C"/>
    <w:rsid w:val="00F26C76"/>
    <w:rsid w:val="00F27817"/>
    <w:rsid w:val="00F35010"/>
    <w:rsid w:val="00F37030"/>
    <w:rsid w:val="00F4130F"/>
    <w:rsid w:val="00F420D5"/>
    <w:rsid w:val="00F43544"/>
    <w:rsid w:val="00F43AEF"/>
    <w:rsid w:val="00F43C26"/>
    <w:rsid w:val="00F4518E"/>
    <w:rsid w:val="00F46407"/>
    <w:rsid w:val="00F46AC6"/>
    <w:rsid w:val="00F47572"/>
    <w:rsid w:val="00F570F6"/>
    <w:rsid w:val="00F65050"/>
    <w:rsid w:val="00F65328"/>
    <w:rsid w:val="00F66F3F"/>
    <w:rsid w:val="00F73A2A"/>
    <w:rsid w:val="00F86235"/>
    <w:rsid w:val="00F9173C"/>
    <w:rsid w:val="00F91DC2"/>
    <w:rsid w:val="00F970DD"/>
    <w:rsid w:val="00FA1058"/>
    <w:rsid w:val="00FA25C1"/>
    <w:rsid w:val="00FA6422"/>
    <w:rsid w:val="00FA6662"/>
    <w:rsid w:val="00FB527B"/>
    <w:rsid w:val="00FB69D1"/>
    <w:rsid w:val="00FC5A11"/>
    <w:rsid w:val="00FC5AC4"/>
    <w:rsid w:val="00FD5232"/>
    <w:rsid w:val="00FE3C89"/>
    <w:rsid w:val="00FE40DE"/>
    <w:rsid w:val="00FE6AC0"/>
    <w:rsid w:val="00FF238B"/>
    <w:rsid w:val="00FF23E4"/>
    <w:rsid w:val="00FF505E"/>
    <w:rsid w:val="00FF553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1514B8A1"/>
  <w15:chartTrackingRefBased/>
  <w15:docId w15:val="{EED8BE88-5E43-4909-9CE6-65EDB4825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cs="Arial"/>
      <w:sz w:val="22"/>
      <w:szCs w:val="22"/>
      <w:lang w:val="en-GB" w:eastAsia="en-US"/>
    </w:rPr>
  </w:style>
  <w:style w:type="paragraph" w:styleId="Heading1">
    <w:name w:val="heading 1"/>
    <w:basedOn w:val="Normal"/>
    <w:next w:val="Normal"/>
    <w:qFormat/>
    <w:pPr>
      <w:keepNext/>
      <w:spacing w:before="120" w:after="200"/>
      <w:outlineLvl w:val="0"/>
    </w:pPr>
    <w:rPr>
      <w:b/>
      <w:bCs/>
      <w:sz w:val="24"/>
      <w:szCs w:val="24"/>
    </w:rPr>
  </w:style>
  <w:style w:type="paragraph" w:styleId="Heading2">
    <w:name w:val="heading 2"/>
    <w:basedOn w:val="Heading1"/>
    <w:next w:val="Normal"/>
    <w:qFormat/>
    <w:pPr>
      <w:spacing w:before="0"/>
      <w:ind w:left="567" w:hanging="567"/>
      <w:outlineLvl w:val="1"/>
    </w:pPr>
    <w:rPr>
      <w:sz w:val="22"/>
      <w:szCs w:val="22"/>
    </w:rPr>
  </w:style>
  <w:style w:type="paragraph" w:styleId="Heading3">
    <w:name w:val="heading 3"/>
    <w:basedOn w:val="Heading2"/>
    <w:next w:val="Normal"/>
    <w:qFormat/>
    <w:pPr>
      <w:outlineLvl w:val="2"/>
    </w:pPr>
    <w:rPr>
      <w:b w:val="0"/>
      <w:bCs w:val="0"/>
    </w:rPr>
  </w:style>
  <w:style w:type="paragraph" w:styleId="Heading4">
    <w:name w:val="heading 4"/>
    <w:basedOn w:val="Heading3"/>
    <w:next w:val="Normal"/>
    <w:qFormat/>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Footer"/>
  </w:style>
  <w:style w:type="paragraph" w:styleId="Footer">
    <w:name w:val="footer"/>
    <w:basedOn w:val="Normal"/>
    <w:pPr>
      <w:tabs>
        <w:tab w:val="center" w:pos="4820"/>
        <w:tab w:val="right" w:pos="9639"/>
      </w:tabs>
    </w:pPr>
  </w:style>
  <w:style w:type="paragraph" w:customStyle="1" w:styleId="ISOMB">
    <w:name w:val="ISO_MB"/>
    <w:basedOn w:val="Normal"/>
    <w:pPr>
      <w:spacing w:before="210" w:line="210" w:lineRule="exact"/>
      <w:jc w:val="left"/>
    </w:pPr>
    <w:rPr>
      <w:sz w:val="18"/>
      <w:szCs w:val="18"/>
    </w:rPr>
  </w:style>
  <w:style w:type="paragraph" w:customStyle="1" w:styleId="ISOClause">
    <w:name w:val="ISO_Clause"/>
    <w:basedOn w:val="Normal"/>
    <w:pPr>
      <w:spacing w:before="210" w:line="210" w:lineRule="exact"/>
      <w:jc w:val="left"/>
    </w:pPr>
    <w:rPr>
      <w:sz w:val="18"/>
      <w:szCs w:val="18"/>
    </w:rPr>
  </w:style>
  <w:style w:type="paragraph" w:customStyle="1" w:styleId="ISOParagraph">
    <w:name w:val="ISO_Paragraph"/>
    <w:basedOn w:val="Normal"/>
    <w:pPr>
      <w:spacing w:before="210" w:line="210" w:lineRule="exact"/>
      <w:jc w:val="left"/>
    </w:pPr>
    <w:rPr>
      <w:sz w:val="18"/>
      <w:szCs w:val="18"/>
    </w:rPr>
  </w:style>
  <w:style w:type="character" w:styleId="PageNumber">
    <w:name w:val="page number"/>
    <w:basedOn w:val="DefaultParagraphFont"/>
    <w:rPr>
      <w:sz w:val="20"/>
      <w:szCs w:val="20"/>
    </w:rPr>
  </w:style>
  <w:style w:type="paragraph" w:customStyle="1" w:styleId="ISOCommType">
    <w:name w:val="ISO_Comm_Type"/>
    <w:basedOn w:val="Normal"/>
    <w:pPr>
      <w:spacing w:before="210" w:line="210" w:lineRule="exact"/>
      <w:jc w:val="left"/>
    </w:pPr>
    <w:rPr>
      <w:sz w:val="18"/>
      <w:szCs w:val="18"/>
    </w:rPr>
  </w:style>
  <w:style w:type="paragraph" w:customStyle="1" w:styleId="ISOComments">
    <w:name w:val="ISO_Comments"/>
    <w:basedOn w:val="Normal"/>
    <w:pPr>
      <w:spacing w:before="210" w:line="210" w:lineRule="exact"/>
      <w:jc w:val="left"/>
    </w:pPr>
    <w:rPr>
      <w:sz w:val="18"/>
      <w:szCs w:val="18"/>
    </w:rPr>
  </w:style>
  <w:style w:type="paragraph" w:customStyle="1" w:styleId="ISOChange">
    <w:name w:val="ISO_Change"/>
    <w:basedOn w:val="Normal"/>
    <w:pPr>
      <w:spacing w:before="210" w:line="210" w:lineRule="exact"/>
      <w:jc w:val="left"/>
    </w:pPr>
    <w:rPr>
      <w:sz w:val="18"/>
      <w:szCs w:val="18"/>
    </w:rPr>
  </w:style>
  <w:style w:type="paragraph" w:customStyle="1" w:styleId="ISOSecretObservations">
    <w:name w:val="ISO_Secret_Observations"/>
    <w:basedOn w:val="Normal"/>
    <w:pPr>
      <w:spacing w:before="210" w:line="210" w:lineRule="exact"/>
      <w:jc w:val="left"/>
    </w:pPr>
    <w:rPr>
      <w:sz w:val="18"/>
      <w:szCs w:val="18"/>
    </w:rPr>
  </w:style>
  <w:style w:type="character" w:customStyle="1" w:styleId="MTEquationSection">
    <w:name w:val="MTEquationSection"/>
    <w:basedOn w:val="DefaultParagraphFont"/>
    <w:rPr>
      <w:color w:val="FF0000"/>
      <w:sz w:val="16"/>
      <w:szCs w:val="16"/>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customStyle="1" w:styleId="mtequationsection0">
    <w:name w:val="mtequationsection"/>
    <w:basedOn w:val="DefaultParagraphFont"/>
  </w:style>
  <w:style w:type="paragraph" w:customStyle="1" w:styleId="RegHead2">
    <w:name w:val="RegHead2"/>
    <w:basedOn w:val="Normal"/>
    <w:next w:val="Normal"/>
    <w:rsid w:val="005B1074"/>
    <w:pPr>
      <w:keepNext/>
      <w:numPr>
        <w:ilvl w:val="1"/>
        <w:numId w:val="1"/>
      </w:numPr>
      <w:spacing w:before="180"/>
      <w:jc w:val="center"/>
    </w:pPr>
    <w:rPr>
      <w:rFonts w:ascii="Times New Roman" w:hAnsi="Times New Roman" w:cs="Times New Roman"/>
      <w:b/>
      <w:szCs w:val="20"/>
    </w:rPr>
  </w:style>
  <w:style w:type="paragraph" w:customStyle="1" w:styleId="RegHead3">
    <w:name w:val="RegHead3"/>
    <w:basedOn w:val="Normal"/>
    <w:next w:val="Normal"/>
    <w:rsid w:val="005B1074"/>
    <w:pPr>
      <w:numPr>
        <w:ilvl w:val="2"/>
        <w:numId w:val="1"/>
      </w:numPr>
      <w:spacing w:before="180"/>
      <w:jc w:val="center"/>
    </w:pPr>
    <w:rPr>
      <w:rFonts w:ascii="Times New Roman" w:hAnsi="Times New Roman" w:cs="Times New Roman"/>
      <w:szCs w:val="20"/>
      <w:u w:val="single"/>
    </w:rPr>
  </w:style>
  <w:style w:type="paragraph" w:customStyle="1" w:styleId="RegPara">
    <w:name w:val="RegPara"/>
    <w:basedOn w:val="Normal"/>
    <w:rsid w:val="005B1074"/>
    <w:pPr>
      <w:numPr>
        <w:ilvl w:val="3"/>
        <w:numId w:val="1"/>
      </w:numPr>
      <w:spacing w:before="180"/>
      <w:jc w:val="left"/>
    </w:pPr>
    <w:rPr>
      <w:rFonts w:ascii="Times New Roman" w:hAnsi="Times New Roman" w:cs="Times New Roman"/>
      <w:szCs w:val="20"/>
      <w:lang w:eastAsia="de-DE"/>
    </w:rPr>
  </w:style>
  <w:style w:type="paragraph" w:customStyle="1" w:styleId="StyleRegHead111pt">
    <w:name w:val="Style RegHead1 + 11 pt"/>
    <w:basedOn w:val="Normal"/>
    <w:rsid w:val="005B1074"/>
    <w:pPr>
      <w:keepNext/>
      <w:numPr>
        <w:numId w:val="1"/>
      </w:numPr>
      <w:spacing w:before="180"/>
      <w:jc w:val="center"/>
    </w:pPr>
    <w:rPr>
      <w:rFonts w:ascii="Times New Roman Bold" w:hAnsi="Times New Roman Bold" w:cs="Times New Roman Bold"/>
      <w:b/>
    </w:rPr>
  </w:style>
  <w:style w:type="character" w:styleId="Hyperlink">
    <w:name w:val="Hyperlink"/>
    <w:basedOn w:val="DefaultParagraphFont"/>
    <w:rsid w:val="000B15A3"/>
    <w:rPr>
      <w:color w:val="0563C1" w:themeColor="hyperlink"/>
      <w:u w:val="single"/>
    </w:rPr>
  </w:style>
  <w:style w:type="character" w:styleId="UnresolvedMention">
    <w:name w:val="Unresolved Mention"/>
    <w:basedOn w:val="DefaultParagraphFont"/>
    <w:uiPriority w:val="99"/>
    <w:semiHidden/>
    <w:unhideWhenUsed/>
    <w:rsid w:val="000B15A3"/>
    <w:rPr>
      <w:color w:val="605E5C"/>
      <w:shd w:val="clear" w:color="auto" w:fill="E1DFDD"/>
    </w:rPr>
  </w:style>
  <w:style w:type="character" w:styleId="CommentReference">
    <w:name w:val="annotation reference"/>
    <w:basedOn w:val="DefaultParagraphFont"/>
    <w:rsid w:val="00F032FD"/>
    <w:rPr>
      <w:sz w:val="16"/>
      <w:szCs w:val="16"/>
    </w:rPr>
  </w:style>
  <w:style w:type="paragraph" w:styleId="CommentText">
    <w:name w:val="annotation text"/>
    <w:basedOn w:val="Normal"/>
    <w:link w:val="CommentTextChar"/>
    <w:rsid w:val="00F032FD"/>
    <w:rPr>
      <w:sz w:val="20"/>
      <w:szCs w:val="20"/>
    </w:rPr>
  </w:style>
  <w:style w:type="character" w:customStyle="1" w:styleId="CommentTextChar">
    <w:name w:val="Comment Text Char"/>
    <w:basedOn w:val="DefaultParagraphFont"/>
    <w:link w:val="CommentText"/>
    <w:rsid w:val="00F032FD"/>
    <w:rPr>
      <w:rFonts w:ascii="Arial" w:hAnsi="Arial" w:cs="Arial"/>
      <w:lang w:val="en-GB" w:eastAsia="en-US"/>
    </w:rPr>
  </w:style>
  <w:style w:type="paragraph" w:styleId="CommentSubject">
    <w:name w:val="annotation subject"/>
    <w:basedOn w:val="CommentText"/>
    <w:next w:val="CommentText"/>
    <w:link w:val="CommentSubjectChar"/>
    <w:rsid w:val="00F032FD"/>
    <w:rPr>
      <w:b/>
      <w:bCs/>
    </w:rPr>
  </w:style>
  <w:style w:type="character" w:customStyle="1" w:styleId="CommentSubjectChar">
    <w:name w:val="Comment Subject Char"/>
    <w:basedOn w:val="CommentTextChar"/>
    <w:link w:val="CommentSubject"/>
    <w:rsid w:val="00F032FD"/>
    <w:rPr>
      <w:rFonts w:ascii="Arial" w:hAnsi="Arial" w:cs="Arial"/>
      <w:b/>
      <w:bCs/>
      <w:lang w:val="en-GB" w:eastAsia="en-US"/>
    </w:rPr>
  </w:style>
  <w:style w:type="paragraph" w:styleId="Revision">
    <w:name w:val="Revision"/>
    <w:hidden/>
    <w:uiPriority w:val="99"/>
    <w:semiHidden/>
    <w:rsid w:val="002E6BCC"/>
    <w:rPr>
      <w:rFonts w:ascii="Arial" w:hAnsi="Arial" w:cs="Arial"/>
      <w:sz w:val="22"/>
      <w:szCs w:val="22"/>
      <w:lang w:val="en-GB" w:eastAsia="en-US"/>
    </w:rPr>
  </w:style>
  <w:style w:type="paragraph" w:customStyle="1" w:styleId="Default">
    <w:name w:val="Default"/>
    <w:rsid w:val="00065ADE"/>
    <w:pPr>
      <w:autoSpaceDE w:val="0"/>
      <w:autoSpaceDN w:val="0"/>
      <w:adjustRightInd w:val="0"/>
    </w:pPr>
    <w:rPr>
      <w:rFonts w:ascii="Calibri" w:hAnsi="Calibri" w:cs="Calibri"/>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FCCC Word Document" ma:contentTypeID="0x010100AC1080CB3F0A334A8C0952354BCA8564007BC3E68EB416CC4AAA2F6028BACC239E" ma:contentTypeVersion="1" ma:contentTypeDescription="Creates a new UNFCCC Document" ma:contentTypeScope="" ma:versionID="7f3a503a110ea00c97dd81f74b72a3c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BB2CA-589C-4437-A969-1BF9BFF8EF6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99CDAC-AD2E-41D4-9D74-51CAC11DFC7D}">
  <ds:schemaRefs>
    <ds:schemaRef ds:uri="http://schemas.microsoft.com/sharepoint/v3/contenttype/forms"/>
  </ds:schemaRefs>
</ds:datastoreItem>
</file>

<file path=customXml/itemProps3.xml><?xml version="1.0" encoding="utf-8"?>
<ds:datastoreItem xmlns:ds="http://schemas.openxmlformats.org/officeDocument/2006/customXml" ds:itemID="{A61D436A-653D-41CD-8080-BB936120E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0B85DF4-F28E-47D8-BD37-2CF8F8E2C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1336</TotalTime>
  <Pages>4</Pages>
  <Words>1770</Words>
  <Characters>10093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CommentsOn</vt:lpstr>
    </vt:vector>
  </TitlesOfParts>
  <Company>ISO</Company>
  <LinksUpToDate>false</LinksUpToDate>
  <CharactersWithSpaces>11840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CommentsOn</dc:title>
  <dc:subject/>
  <dc:creator>dow</dc:creator>
  <cp:keywords/>
  <dc:description>FORM (ISO)</dc:description>
  <cp:lastModifiedBy>Samir Thapa</cp:lastModifiedBy>
  <cp:revision>41</cp:revision>
  <cp:lastPrinted>2001-10-25T12:04:00Z</cp:lastPrinted>
  <dcterms:created xsi:type="dcterms:W3CDTF">2024-07-25T15:37:00Z</dcterms:created>
  <dcterms:modified xsi:type="dcterms:W3CDTF">2024-08-01T13:55:00Z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Operation">
    <vt:lpwstr>SavedAs</vt:lpwstr>
  </property>
  <property fmtid="{D5CDD505-2E9C-101B-9397-08002B2CF9AE}" pid="3" name="ContentTypeId">
    <vt:lpwstr>0x010100AC1080CB3F0A334A8C0952354BCA8564007BC3E68EB416CC4AAA2F6028BACC239E</vt:lpwstr>
  </property>
  <property fmtid="{D5CDD505-2E9C-101B-9397-08002B2CF9AE}" pid="4" name="Mendeley Document_1">
    <vt:lpwstr>True</vt:lpwstr>
  </property>
  <property fmtid="{D5CDD505-2E9C-101B-9397-08002B2CF9AE}" pid="5" name="Mendeley Citation Style_1">
    <vt:lpwstr>http://www.zotero.org/styles/apa</vt:lpwstr>
  </property>
  <property fmtid="{D5CDD505-2E9C-101B-9397-08002B2CF9AE}" pid="6" name="Mendeley Unique User Id_1">
    <vt:lpwstr>4d6bb2a2-cc57-3404-a721-ebff6bc75916</vt:lpwstr>
  </property>
  <property fmtid="{D5CDD505-2E9C-101B-9397-08002B2CF9AE}" pid="7" name="Mendeley Recent Style Id 0_1">
    <vt:lpwstr>http://www.zotero.org/styles/american-medical-association</vt:lpwstr>
  </property>
  <property fmtid="{D5CDD505-2E9C-101B-9397-08002B2CF9AE}" pid="8" name="Mendeley Recent Style Name 0_1">
    <vt:lpwstr>American Medical Association 11th edition</vt:lpwstr>
  </property>
  <property fmtid="{D5CDD505-2E9C-101B-9397-08002B2CF9AE}" pid="9" name="Mendeley Recent Style Id 1_1">
    <vt:lpwstr>http://www.zotero.org/styles/american-political-science-association</vt:lpwstr>
  </property>
  <property fmtid="{D5CDD505-2E9C-101B-9397-08002B2CF9AE}" pid="10" name="Mendeley Recent Style Name 1_1">
    <vt:lpwstr>American Political Science Association</vt:lpwstr>
  </property>
  <property fmtid="{D5CDD505-2E9C-101B-9397-08002B2CF9AE}" pid="11" name="Mendeley Recent Style Id 2_1">
    <vt:lpwstr>http://www.zotero.org/styles/apa</vt:lpwstr>
  </property>
  <property fmtid="{D5CDD505-2E9C-101B-9397-08002B2CF9AE}" pid="12" name="Mendeley Recent Style Name 2_1">
    <vt:lpwstr>American Psychological Association 7th edition</vt:lpwstr>
  </property>
  <property fmtid="{D5CDD505-2E9C-101B-9397-08002B2CF9AE}" pid="13" name="Mendeley Recent Style Id 3_1">
    <vt:lpwstr>http://www.zotero.org/styles/american-sociological-association</vt:lpwstr>
  </property>
  <property fmtid="{D5CDD505-2E9C-101B-9397-08002B2CF9AE}" pid="14" name="Mendeley Recent Style Name 3_1">
    <vt:lpwstr>American Sociological Association 6th edition</vt:lpwstr>
  </property>
  <property fmtid="{D5CDD505-2E9C-101B-9397-08002B2CF9AE}" pid="15" name="Mendeley Recent Style Id 4_1">
    <vt:lpwstr>http://www.zotero.org/styles/chicago-author-date</vt:lpwstr>
  </property>
  <property fmtid="{D5CDD505-2E9C-101B-9397-08002B2CF9AE}" pid="16" name="Mendeley Recent Style Name 4_1">
    <vt:lpwstr>Chicago Manual of Style 17th edition (author-date)</vt:lpwstr>
  </property>
  <property fmtid="{D5CDD505-2E9C-101B-9397-08002B2CF9AE}" pid="17" name="Mendeley Recent Style Id 5_1">
    <vt:lpwstr>http://www.zotero.org/styles/harvard-cite-them-right</vt:lpwstr>
  </property>
  <property fmtid="{D5CDD505-2E9C-101B-9397-08002B2CF9AE}" pid="18" name="Mendeley Recent Style Name 5_1">
    <vt:lpwstr>Cite Them Right 12th edition - Harvard</vt:lpwstr>
  </property>
  <property fmtid="{D5CDD505-2E9C-101B-9397-08002B2CF9AE}" pid="19" name="Mendeley Recent Style Id 6_1">
    <vt:lpwstr>http://www.zotero.org/styles/ieee</vt:lpwstr>
  </property>
  <property fmtid="{D5CDD505-2E9C-101B-9397-08002B2CF9AE}" pid="20" name="Mendeley Recent Style Name 6_1">
    <vt:lpwstr>IEEE</vt:lpwstr>
  </property>
  <property fmtid="{D5CDD505-2E9C-101B-9397-08002B2CF9AE}" pid="21" name="Mendeley Recent Style Id 7_1">
    <vt:lpwstr>http://www.zotero.org/styles/modern-humanities-research-association</vt:lpwstr>
  </property>
  <property fmtid="{D5CDD505-2E9C-101B-9397-08002B2CF9AE}" pid="22" name="Mendeley Recent Style Name 7_1">
    <vt:lpwstr>Modern Humanities Research Association 3rd edition (note with bibliography)</vt:lpwstr>
  </property>
  <property fmtid="{D5CDD505-2E9C-101B-9397-08002B2CF9AE}" pid="23" name="Mendeley Recent Style Id 8_1">
    <vt:lpwstr>http://www.zotero.org/styles/modern-language-association</vt:lpwstr>
  </property>
  <property fmtid="{D5CDD505-2E9C-101B-9397-08002B2CF9AE}" pid="24" name="Mendeley Recent Style Name 8_1">
    <vt:lpwstr>Modern Language Association 9th edition</vt:lpwstr>
  </property>
  <property fmtid="{D5CDD505-2E9C-101B-9397-08002B2CF9AE}" pid="25" name="Mendeley Recent Style Id 9_1">
    <vt:lpwstr>http://www.zotero.org/styles/nature</vt:lpwstr>
  </property>
  <property fmtid="{D5CDD505-2E9C-101B-9397-08002B2CF9AE}" pid="26" name="Mendeley Recent Style Name 9_1">
    <vt:lpwstr>Nature</vt:lpwstr>
  </property>
</Properties>
</file>