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E4AFD" w14:textId="77777777" w:rsidR="005B1074" w:rsidRDefault="00777AC5" w:rsidP="005B1074">
      <w:pPr>
        <w:pStyle w:val="StyleRegHead111pt"/>
        <w:numPr>
          <w:ilvl w:val="0"/>
          <w:numId w:val="0"/>
        </w:numPr>
      </w:pPr>
      <w:r>
        <w:t>TABLE</w:t>
      </w:r>
      <w:r w:rsidR="005B1074">
        <w:t xml:space="preserve"> FOR COMMENTS</w:t>
      </w:r>
    </w:p>
    <w:p w14:paraId="509F9590" w14:textId="7EE2C019" w:rsidR="00E60C4A" w:rsidRPr="00C535BB" w:rsidRDefault="00E60C4A" w:rsidP="00E60C4A">
      <w:pPr>
        <w:pStyle w:val="StyleRegHead111pt"/>
        <w:numPr>
          <w:ilvl w:val="0"/>
          <w:numId w:val="0"/>
        </w:numPr>
        <w:jc w:val="left"/>
      </w:pPr>
      <w:r w:rsidRPr="00C535BB">
        <w:t xml:space="preserve">Name of submitter: </w:t>
      </w:r>
      <w:r w:rsidR="00F3028E">
        <w:t>Edwin Cogho</w:t>
      </w:r>
    </w:p>
    <w:p w14:paraId="1539A45C" w14:textId="4709AB99" w:rsidR="00E60C4A" w:rsidRPr="00C535BB" w:rsidRDefault="00E60C4A" w:rsidP="00E60C4A">
      <w:pPr>
        <w:pStyle w:val="StyleRegHead111pt"/>
        <w:numPr>
          <w:ilvl w:val="0"/>
          <w:numId w:val="0"/>
        </w:numPr>
        <w:jc w:val="left"/>
      </w:pPr>
      <w:r w:rsidRPr="00C535BB">
        <w:t>Affiliated organization of the submitter</w:t>
      </w:r>
      <w:r w:rsidR="006D0849" w:rsidRPr="00C535BB">
        <w:t xml:space="preserve"> (if any)</w:t>
      </w:r>
      <w:r w:rsidRPr="00C535BB">
        <w:t xml:space="preserve">: </w:t>
      </w:r>
      <w:r w:rsidR="00F3028E">
        <w:t>TASC</w:t>
      </w:r>
    </w:p>
    <w:p w14:paraId="5F63183D" w14:textId="34DD50A2" w:rsidR="00E60C4A" w:rsidRPr="007F243D" w:rsidRDefault="00E60C4A" w:rsidP="00E60C4A">
      <w:pPr>
        <w:pStyle w:val="StyleRegHead111pt"/>
        <w:numPr>
          <w:ilvl w:val="0"/>
          <w:numId w:val="0"/>
        </w:numPr>
        <w:jc w:val="left"/>
      </w:pPr>
      <w:r w:rsidRPr="00C535BB">
        <w:t>Contact email of submitter</w:t>
      </w:r>
      <w:r w:rsidRPr="00F3028E">
        <w:t>:</w:t>
      </w:r>
      <w:r w:rsidR="00F3028E">
        <w:t xml:space="preserve"> edwin@tasc.je</w:t>
      </w:r>
    </w:p>
    <w:p w14:paraId="77A5CC8D" w14:textId="77777777" w:rsidR="005B1074" w:rsidRPr="00035035" w:rsidRDefault="005B1074" w:rsidP="005B1074"/>
    <w:p w14:paraId="2EA528BF" w14:textId="77777777" w:rsidR="00DF4F6B" w:rsidRDefault="00DF4F6B">
      <w:pPr>
        <w:spacing w:line="240" w:lineRule="exact"/>
      </w:pPr>
    </w:p>
    <w:tbl>
      <w:tblPr>
        <w:tblW w:w="153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60"/>
        <w:gridCol w:w="1388"/>
        <w:gridCol w:w="1022"/>
        <w:gridCol w:w="992"/>
        <w:gridCol w:w="4762"/>
        <w:gridCol w:w="4253"/>
        <w:gridCol w:w="2552"/>
      </w:tblGrid>
      <w:tr w:rsidR="00863150" w14:paraId="44974AB3" w14:textId="77777777" w:rsidTr="6316D333">
        <w:trPr>
          <w:cantSplit/>
          <w:tblHeader/>
          <w:jc w:val="center"/>
        </w:trPr>
        <w:tc>
          <w:tcPr>
            <w:tcW w:w="360" w:type="dxa"/>
            <w:tcBorders>
              <w:top w:val="single" w:sz="6" w:space="0" w:color="auto"/>
              <w:left w:val="single" w:sz="6" w:space="0" w:color="auto"/>
              <w:bottom w:val="single" w:sz="6" w:space="0" w:color="auto"/>
              <w:right w:val="single" w:sz="6" w:space="0" w:color="auto"/>
            </w:tcBorders>
          </w:tcPr>
          <w:p w14:paraId="1118F40B" w14:textId="77777777" w:rsidR="00863150" w:rsidRDefault="00863150">
            <w:pPr>
              <w:keepLines/>
              <w:spacing w:before="40" w:after="40" w:line="180" w:lineRule="exact"/>
              <w:jc w:val="center"/>
              <w:rPr>
                <w:b/>
                <w:bCs/>
                <w:sz w:val="16"/>
                <w:szCs w:val="16"/>
              </w:rPr>
            </w:pPr>
            <w:r>
              <w:rPr>
                <w:b/>
                <w:bCs/>
                <w:sz w:val="16"/>
                <w:szCs w:val="16"/>
              </w:rPr>
              <w:t>0</w:t>
            </w:r>
          </w:p>
        </w:tc>
        <w:tc>
          <w:tcPr>
            <w:tcW w:w="1388" w:type="dxa"/>
            <w:tcBorders>
              <w:top w:val="single" w:sz="6" w:space="0" w:color="auto"/>
              <w:left w:val="single" w:sz="6" w:space="0" w:color="auto"/>
              <w:bottom w:val="single" w:sz="6" w:space="0" w:color="auto"/>
              <w:right w:val="single" w:sz="6" w:space="0" w:color="auto"/>
            </w:tcBorders>
          </w:tcPr>
          <w:p w14:paraId="0556F682" w14:textId="77777777" w:rsidR="00863150" w:rsidRDefault="00863150">
            <w:pPr>
              <w:keepLines/>
              <w:spacing w:before="40" w:after="40" w:line="180" w:lineRule="exact"/>
              <w:jc w:val="center"/>
              <w:rPr>
                <w:b/>
                <w:bCs/>
                <w:sz w:val="16"/>
                <w:szCs w:val="16"/>
              </w:rPr>
            </w:pPr>
            <w:r>
              <w:rPr>
                <w:b/>
                <w:bCs/>
                <w:sz w:val="16"/>
                <w:szCs w:val="16"/>
              </w:rPr>
              <w:t>1</w:t>
            </w:r>
          </w:p>
        </w:tc>
        <w:tc>
          <w:tcPr>
            <w:tcW w:w="1022" w:type="dxa"/>
            <w:tcBorders>
              <w:top w:val="single" w:sz="6" w:space="0" w:color="auto"/>
              <w:left w:val="single" w:sz="6" w:space="0" w:color="auto"/>
              <w:bottom w:val="single" w:sz="6" w:space="0" w:color="auto"/>
              <w:right w:val="single" w:sz="6" w:space="0" w:color="auto"/>
            </w:tcBorders>
          </w:tcPr>
          <w:p w14:paraId="743B88A7" w14:textId="77777777" w:rsidR="00863150" w:rsidRDefault="00863150">
            <w:pPr>
              <w:keepLines/>
              <w:spacing w:before="40" w:after="40" w:line="180" w:lineRule="exact"/>
              <w:jc w:val="center"/>
              <w:rPr>
                <w:b/>
                <w:bCs/>
                <w:sz w:val="16"/>
                <w:szCs w:val="16"/>
              </w:rPr>
            </w:pPr>
            <w:r>
              <w:rPr>
                <w:b/>
                <w:bCs/>
                <w:sz w:val="16"/>
                <w:szCs w:val="16"/>
              </w:rPr>
              <w:t>2</w:t>
            </w:r>
          </w:p>
        </w:tc>
        <w:tc>
          <w:tcPr>
            <w:tcW w:w="992" w:type="dxa"/>
            <w:tcBorders>
              <w:top w:val="single" w:sz="6" w:space="0" w:color="auto"/>
              <w:left w:val="single" w:sz="6" w:space="0" w:color="auto"/>
              <w:bottom w:val="single" w:sz="6" w:space="0" w:color="auto"/>
              <w:right w:val="single" w:sz="6" w:space="0" w:color="auto"/>
            </w:tcBorders>
          </w:tcPr>
          <w:p w14:paraId="2AF66E0C" w14:textId="77777777" w:rsidR="00863150" w:rsidRDefault="00863150">
            <w:pPr>
              <w:keepLines/>
              <w:spacing w:before="40" w:after="40" w:line="180" w:lineRule="exact"/>
              <w:jc w:val="center"/>
              <w:rPr>
                <w:b/>
                <w:bCs/>
                <w:sz w:val="16"/>
                <w:szCs w:val="16"/>
              </w:rPr>
            </w:pPr>
            <w:r>
              <w:rPr>
                <w:b/>
                <w:bCs/>
                <w:sz w:val="16"/>
                <w:szCs w:val="16"/>
              </w:rPr>
              <w:t>3</w:t>
            </w:r>
          </w:p>
        </w:tc>
        <w:tc>
          <w:tcPr>
            <w:tcW w:w="4762" w:type="dxa"/>
            <w:tcBorders>
              <w:top w:val="single" w:sz="6" w:space="0" w:color="auto"/>
              <w:left w:val="single" w:sz="6" w:space="0" w:color="auto"/>
              <w:bottom w:val="single" w:sz="6" w:space="0" w:color="auto"/>
              <w:right w:val="single" w:sz="6" w:space="0" w:color="auto"/>
            </w:tcBorders>
          </w:tcPr>
          <w:p w14:paraId="4AE8941B" w14:textId="77777777" w:rsidR="00863150" w:rsidRDefault="00863150">
            <w:pPr>
              <w:keepLines/>
              <w:spacing w:before="40" w:after="40" w:line="180" w:lineRule="exact"/>
              <w:jc w:val="center"/>
              <w:rPr>
                <w:b/>
                <w:bCs/>
                <w:sz w:val="16"/>
                <w:szCs w:val="16"/>
              </w:rPr>
            </w:pPr>
            <w:r>
              <w:rPr>
                <w:b/>
                <w:bCs/>
                <w:sz w:val="16"/>
                <w:szCs w:val="16"/>
              </w:rPr>
              <w:t>4</w:t>
            </w:r>
          </w:p>
        </w:tc>
        <w:tc>
          <w:tcPr>
            <w:tcW w:w="4253" w:type="dxa"/>
            <w:tcBorders>
              <w:top w:val="single" w:sz="6" w:space="0" w:color="auto"/>
              <w:left w:val="single" w:sz="6" w:space="0" w:color="auto"/>
              <w:bottom w:val="single" w:sz="6" w:space="0" w:color="auto"/>
              <w:right w:val="single" w:sz="6" w:space="0" w:color="auto"/>
            </w:tcBorders>
          </w:tcPr>
          <w:p w14:paraId="5786B02A" w14:textId="77777777" w:rsidR="00863150" w:rsidRDefault="00863150">
            <w:pPr>
              <w:keepLines/>
              <w:spacing w:before="40" w:after="40" w:line="180" w:lineRule="exact"/>
              <w:jc w:val="center"/>
              <w:rPr>
                <w:b/>
                <w:bCs/>
                <w:sz w:val="16"/>
                <w:szCs w:val="16"/>
              </w:rPr>
            </w:pPr>
            <w:r>
              <w:rPr>
                <w:b/>
                <w:bCs/>
                <w:sz w:val="16"/>
                <w:szCs w:val="16"/>
              </w:rPr>
              <w:t>5</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5212BB9" w14:textId="77777777" w:rsidR="00863150" w:rsidRDefault="00863150">
            <w:pPr>
              <w:keepLines/>
              <w:spacing w:before="40" w:after="40" w:line="180" w:lineRule="exact"/>
              <w:jc w:val="center"/>
              <w:rPr>
                <w:b/>
                <w:bCs/>
                <w:sz w:val="16"/>
                <w:szCs w:val="16"/>
              </w:rPr>
            </w:pPr>
            <w:r>
              <w:rPr>
                <w:b/>
                <w:bCs/>
                <w:sz w:val="16"/>
                <w:szCs w:val="16"/>
              </w:rPr>
              <w:t>6</w:t>
            </w:r>
          </w:p>
        </w:tc>
      </w:tr>
      <w:tr w:rsidR="00863150" w14:paraId="48486F42" w14:textId="77777777" w:rsidTr="6316D333">
        <w:trPr>
          <w:cantSplit/>
          <w:tblHeader/>
          <w:jc w:val="center"/>
        </w:trPr>
        <w:tc>
          <w:tcPr>
            <w:tcW w:w="360" w:type="dxa"/>
            <w:tcBorders>
              <w:top w:val="single" w:sz="6" w:space="0" w:color="auto"/>
              <w:left w:val="single" w:sz="6" w:space="0" w:color="auto"/>
              <w:bottom w:val="single" w:sz="6" w:space="0" w:color="auto"/>
              <w:right w:val="single" w:sz="6" w:space="0" w:color="auto"/>
            </w:tcBorders>
            <w:shd w:val="clear" w:color="auto" w:fill="E6E6E6"/>
          </w:tcPr>
          <w:p w14:paraId="7B197D7B" w14:textId="77777777" w:rsidR="00863150" w:rsidRDefault="00863150">
            <w:pPr>
              <w:keepLines/>
              <w:spacing w:before="40" w:after="40" w:line="190" w:lineRule="exact"/>
              <w:jc w:val="center"/>
              <w:rPr>
                <w:b/>
                <w:bCs/>
                <w:sz w:val="16"/>
                <w:szCs w:val="16"/>
              </w:rPr>
            </w:pPr>
            <w:r>
              <w:rPr>
                <w:b/>
                <w:bCs/>
                <w:sz w:val="16"/>
                <w:szCs w:val="16"/>
              </w:rPr>
              <w:t>#</w:t>
            </w:r>
          </w:p>
          <w:p w14:paraId="1BEFCA54" w14:textId="77777777" w:rsidR="00863150" w:rsidRDefault="00863150" w:rsidP="005242C9">
            <w:pPr>
              <w:keepLines/>
              <w:spacing w:before="40" w:after="40" w:line="190" w:lineRule="exact"/>
              <w:rPr>
                <w:b/>
                <w:bCs/>
                <w:sz w:val="16"/>
                <w:szCs w:val="16"/>
              </w:rPr>
            </w:pPr>
          </w:p>
        </w:tc>
        <w:tc>
          <w:tcPr>
            <w:tcW w:w="1388" w:type="dxa"/>
            <w:tcBorders>
              <w:top w:val="single" w:sz="6" w:space="0" w:color="auto"/>
              <w:left w:val="single" w:sz="6" w:space="0" w:color="auto"/>
              <w:bottom w:val="single" w:sz="6" w:space="0" w:color="auto"/>
              <w:right w:val="single" w:sz="6" w:space="0" w:color="auto"/>
            </w:tcBorders>
            <w:shd w:val="clear" w:color="auto" w:fill="E6E6E6"/>
          </w:tcPr>
          <w:p w14:paraId="5931A8B1" w14:textId="77777777" w:rsidR="00863150" w:rsidRDefault="00863150">
            <w:pPr>
              <w:keepLines/>
              <w:spacing w:before="40" w:after="40" w:line="190" w:lineRule="exact"/>
              <w:jc w:val="center"/>
              <w:rPr>
                <w:b/>
                <w:bCs/>
                <w:sz w:val="16"/>
                <w:szCs w:val="16"/>
              </w:rPr>
            </w:pPr>
            <w:r>
              <w:rPr>
                <w:b/>
                <w:bCs/>
                <w:sz w:val="16"/>
                <w:szCs w:val="16"/>
              </w:rPr>
              <w:t>Para No./</w:t>
            </w:r>
            <w:r>
              <w:rPr>
                <w:b/>
                <w:bCs/>
                <w:sz w:val="16"/>
                <w:szCs w:val="16"/>
              </w:rPr>
              <w:br/>
              <w:t>Annex / Figure / Table</w:t>
            </w:r>
          </w:p>
        </w:tc>
        <w:tc>
          <w:tcPr>
            <w:tcW w:w="1022" w:type="dxa"/>
            <w:tcBorders>
              <w:top w:val="single" w:sz="6" w:space="0" w:color="auto"/>
              <w:left w:val="single" w:sz="6" w:space="0" w:color="auto"/>
              <w:bottom w:val="single" w:sz="6" w:space="0" w:color="auto"/>
              <w:right w:val="single" w:sz="6" w:space="0" w:color="auto"/>
            </w:tcBorders>
            <w:shd w:val="clear" w:color="auto" w:fill="E6E6E6"/>
          </w:tcPr>
          <w:p w14:paraId="612186A2" w14:textId="77777777" w:rsidR="00863150" w:rsidRDefault="00863150">
            <w:pPr>
              <w:keepLines/>
              <w:spacing w:before="40" w:after="40" w:line="190" w:lineRule="exact"/>
              <w:jc w:val="center"/>
              <w:rPr>
                <w:b/>
                <w:bCs/>
                <w:sz w:val="16"/>
                <w:szCs w:val="16"/>
              </w:rPr>
            </w:pPr>
            <w:r>
              <w:rPr>
                <w:b/>
                <w:bCs/>
                <w:sz w:val="16"/>
                <w:szCs w:val="16"/>
              </w:rPr>
              <w:t>Line Number</w:t>
            </w:r>
          </w:p>
        </w:tc>
        <w:tc>
          <w:tcPr>
            <w:tcW w:w="992" w:type="dxa"/>
            <w:tcBorders>
              <w:top w:val="single" w:sz="6" w:space="0" w:color="auto"/>
              <w:left w:val="single" w:sz="6" w:space="0" w:color="auto"/>
              <w:bottom w:val="single" w:sz="6" w:space="0" w:color="auto"/>
              <w:right w:val="single" w:sz="6" w:space="0" w:color="auto"/>
            </w:tcBorders>
            <w:shd w:val="clear" w:color="auto" w:fill="E6E6E6"/>
          </w:tcPr>
          <w:p w14:paraId="5E36EA1D" w14:textId="77777777" w:rsidR="00863150" w:rsidRDefault="00863150">
            <w:pPr>
              <w:keepLines/>
              <w:spacing w:before="40" w:after="40" w:line="190" w:lineRule="exact"/>
              <w:jc w:val="center"/>
              <w:rPr>
                <w:b/>
                <w:bCs/>
                <w:sz w:val="16"/>
                <w:szCs w:val="16"/>
              </w:rPr>
            </w:pPr>
            <w:r>
              <w:rPr>
                <w:b/>
                <w:bCs/>
                <w:sz w:val="16"/>
                <w:szCs w:val="16"/>
              </w:rPr>
              <w:t>Type of comment</w:t>
            </w:r>
          </w:p>
          <w:p w14:paraId="7BC03EA3" w14:textId="77777777" w:rsidR="00863150" w:rsidRDefault="00863150">
            <w:pPr>
              <w:keepLines/>
              <w:spacing w:before="40" w:after="40" w:line="190" w:lineRule="exact"/>
              <w:jc w:val="center"/>
              <w:rPr>
                <w:rStyle w:val="PageNumber"/>
                <w:sz w:val="16"/>
                <w:szCs w:val="16"/>
              </w:rPr>
            </w:pPr>
            <w:proofErr w:type="spellStart"/>
            <w:r>
              <w:rPr>
                <w:rStyle w:val="PageNumber"/>
                <w:b/>
                <w:bCs/>
                <w:sz w:val="16"/>
                <w:szCs w:val="16"/>
              </w:rPr>
              <w:t>ge</w:t>
            </w:r>
            <w:proofErr w:type="spellEnd"/>
            <w:r>
              <w:rPr>
                <w:rStyle w:val="PageNumber"/>
                <w:sz w:val="16"/>
                <w:szCs w:val="16"/>
              </w:rPr>
              <w:t xml:space="preserve"> = general</w:t>
            </w:r>
          </w:p>
          <w:p w14:paraId="192FE6D5" w14:textId="77777777" w:rsidR="00863150" w:rsidRDefault="00863150">
            <w:pPr>
              <w:keepLines/>
              <w:spacing w:before="40" w:after="40" w:line="190" w:lineRule="exact"/>
              <w:jc w:val="center"/>
              <w:rPr>
                <w:b/>
                <w:bCs/>
                <w:sz w:val="16"/>
                <w:szCs w:val="16"/>
              </w:rPr>
            </w:pPr>
            <w:proofErr w:type="spellStart"/>
            <w:r>
              <w:rPr>
                <w:rStyle w:val="PageNumber"/>
                <w:b/>
                <w:bCs/>
                <w:sz w:val="16"/>
                <w:szCs w:val="16"/>
              </w:rPr>
              <w:t>te</w:t>
            </w:r>
            <w:proofErr w:type="spellEnd"/>
            <w:r>
              <w:rPr>
                <w:rStyle w:val="PageNumber"/>
                <w:sz w:val="16"/>
                <w:szCs w:val="16"/>
              </w:rPr>
              <w:t xml:space="preserve"> = technical </w:t>
            </w:r>
            <w:r>
              <w:rPr>
                <w:rStyle w:val="PageNumber"/>
                <w:sz w:val="16"/>
                <w:szCs w:val="16"/>
              </w:rPr>
              <w:tab/>
            </w:r>
            <w:r>
              <w:rPr>
                <w:rStyle w:val="PageNumber"/>
                <w:b/>
                <w:bCs/>
                <w:sz w:val="16"/>
                <w:szCs w:val="16"/>
              </w:rPr>
              <w:t>ed</w:t>
            </w:r>
            <w:r>
              <w:rPr>
                <w:rStyle w:val="PageNumber"/>
                <w:sz w:val="16"/>
                <w:szCs w:val="16"/>
              </w:rPr>
              <w:t xml:space="preserve"> = editorial </w:t>
            </w:r>
          </w:p>
        </w:tc>
        <w:tc>
          <w:tcPr>
            <w:tcW w:w="4762" w:type="dxa"/>
            <w:tcBorders>
              <w:top w:val="single" w:sz="6" w:space="0" w:color="auto"/>
              <w:left w:val="single" w:sz="6" w:space="0" w:color="auto"/>
              <w:bottom w:val="single" w:sz="6" w:space="0" w:color="auto"/>
              <w:right w:val="single" w:sz="6" w:space="0" w:color="auto"/>
            </w:tcBorders>
            <w:shd w:val="clear" w:color="auto" w:fill="E6E6E6"/>
          </w:tcPr>
          <w:p w14:paraId="5DB73758" w14:textId="77777777" w:rsidR="00863150" w:rsidRDefault="00863150">
            <w:pPr>
              <w:keepLines/>
              <w:spacing w:before="40" w:after="40" w:line="190" w:lineRule="exact"/>
              <w:jc w:val="center"/>
              <w:rPr>
                <w:b/>
                <w:bCs/>
                <w:sz w:val="16"/>
                <w:szCs w:val="16"/>
              </w:rPr>
            </w:pPr>
            <w:r>
              <w:rPr>
                <w:b/>
                <w:bCs/>
                <w:sz w:val="16"/>
                <w:szCs w:val="16"/>
              </w:rPr>
              <w:t xml:space="preserve">Comment </w:t>
            </w:r>
          </w:p>
          <w:p w14:paraId="58D30D20" w14:textId="77777777" w:rsidR="00863150" w:rsidRDefault="00863150">
            <w:pPr>
              <w:keepLines/>
              <w:spacing w:before="40" w:after="40" w:line="190" w:lineRule="exact"/>
              <w:jc w:val="center"/>
              <w:rPr>
                <w:b/>
                <w:bCs/>
                <w:sz w:val="16"/>
                <w:szCs w:val="16"/>
              </w:rPr>
            </w:pPr>
            <w:r>
              <w:rPr>
                <w:b/>
                <w:bCs/>
                <w:sz w:val="16"/>
                <w:szCs w:val="16"/>
              </w:rPr>
              <w:t>(including justification for change)</w:t>
            </w:r>
          </w:p>
        </w:tc>
        <w:tc>
          <w:tcPr>
            <w:tcW w:w="4253" w:type="dxa"/>
            <w:tcBorders>
              <w:top w:val="single" w:sz="6" w:space="0" w:color="auto"/>
              <w:left w:val="single" w:sz="6" w:space="0" w:color="auto"/>
              <w:bottom w:val="single" w:sz="6" w:space="0" w:color="auto"/>
              <w:right w:val="single" w:sz="6" w:space="0" w:color="auto"/>
            </w:tcBorders>
            <w:shd w:val="clear" w:color="auto" w:fill="E6E6E6"/>
          </w:tcPr>
          <w:p w14:paraId="33AB5C84" w14:textId="77777777" w:rsidR="00863150" w:rsidRDefault="00863150">
            <w:pPr>
              <w:keepLines/>
              <w:spacing w:before="40" w:after="40" w:line="190" w:lineRule="exact"/>
              <w:jc w:val="center"/>
              <w:rPr>
                <w:b/>
                <w:bCs/>
                <w:sz w:val="16"/>
                <w:szCs w:val="16"/>
              </w:rPr>
            </w:pPr>
            <w:r>
              <w:rPr>
                <w:b/>
                <w:bCs/>
                <w:sz w:val="16"/>
                <w:szCs w:val="16"/>
              </w:rPr>
              <w:t xml:space="preserve">Proposed change </w:t>
            </w:r>
          </w:p>
          <w:p w14:paraId="50091044" w14:textId="77777777" w:rsidR="00863150" w:rsidRDefault="00863150">
            <w:pPr>
              <w:keepLines/>
              <w:spacing w:before="40" w:after="40" w:line="190" w:lineRule="exact"/>
              <w:jc w:val="center"/>
              <w:rPr>
                <w:b/>
                <w:bCs/>
                <w:sz w:val="16"/>
                <w:szCs w:val="16"/>
              </w:rPr>
            </w:pPr>
            <w:r>
              <w:rPr>
                <w:b/>
                <w:bCs/>
                <w:sz w:val="16"/>
                <w:szCs w:val="16"/>
              </w:rPr>
              <w:t>(including proposed text)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6C1D227" w14:textId="77777777" w:rsidR="00863150" w:rsidRDefault="00863150" w:rsidP="005A256D">
            <w:pPr>
              <w:keepLines/>
              <w:spacing w:before="40" w:after="40" w:line="190" w:lineRule="exact"/>
              <w:jc w:val="center"/>
              <w:rPr>
                <w:b/>
                <w:bCs/>
                <w:sz w:val="16"/>
                <w:szCs w:val="16"/>
              </w:rPr>
            </w:pPr>
            <w:r>
              <w:rPr>
                <w:b/>
                <w:bCs/>
                <w:sz w:val="16"/>
                <w:szCs w:val="16"/>
              </w:rPr>
              <w:t>Assessment of comment</w:t>
            </w:r>
          </w:p>
          <w:p w14:paraId="54A7E6A7" w14:textId="77777777" w:rsidR="00863150" w:rsidRDefault="00863150" w:rsidP="005A256D">
            <w:pPr>
              <w:keepLines/>
              <w:spacing w:before="40" w:after="40" w:line="190" w:lineRule="exact"/>
              <w:jc w:val="center"/>
              <w:rPr>
                <w:b/>
                <w:bCs/>
                <w:sz w:val="16"/>
                <w:szCs w:val="16"/>
              </w:rPr>
            </w:pPr>
            <w:r>
              <w:rPr>
                <w:b/>
                <w:bCs/>
                <w:sz w:val="16"/>
                <w:szCs w:val="16"/>
              </w:rPr>
              <w:t>(</w:t>
            </w:r>
            <w:r w:rsidRPr="005A256D">
              <w:rPr>
                <w:b/>
                <w:bCs/>
                <w:i/>
                <w:sz w:val="16"/>
                <w:szCs w:val="16"/>
              </w:rPr>
              <w:t xml:space="preserve">to be completed by </w:t>
            </w:r>
            <w:r>
              <w:rPr>
                <w:b/>
                <w:bCs/>
                <w:i/>
                <w:sz w:val="16"/>
                <w:szCs w:val="16"/>
              </w:rPr>
              <w:t>UNFCCC secretariat</w:t>
            </w:r>
            <w:r>
              <w:rPr>
                <w:b/>
                <w:bCs/>
                <w:sz w:val="16"/>
                <w:szCs w:val="16"/>
              </w:rPr>
              <w:t>)</w:t>
            </w:r>
          </w:p>
        </w:tc>
      </w:tr>
      <w:tr w:rsidR="00863150" w14:paraId="1DABCE09" w14:textId="77777777" w:rsidTr="6316D333">
        <w:trPr>
          <w:cantSplit/>
          <w:jc w:val="center"/>
        </w:trPr>
        <w:tc>
          <w:tcPr>
            <w:tcW w:w="360" w:type="dxa"/>
            <w:tcBorders>
              <w:top w:val="single" w:sz="6" w:space="0" w:color="auto"/>
              <w:left w:val="single" w:sz="6" w:space="0" w:color="auto"/>
              <w:bottom w:val="single" w:sz="6" w:space="0" w:color="auto"/>
              <w:right w:val="single" w:sz="6" w:space="0" w:color="auto"/>
            </w:tcBorders>
          </w:tcPr>
          <w:p w14:paraId="1DE1019C" w14:textId="0EAF6CAE" w:rsidR="00863150" w:rsidRDefault="00316252">
            <w:pPr>
              <w:keepLines/>
              <w:spacing w:before="40" w:after="40" w:line="190" w:lineRule="exact"/>
              <w:jc w:val="center"/>
              <w:rPr>
                <w:b/>
                <w:bCs/>
                <w:sz w:val="16"/>
                <w:szCs w:val="16"/>
              </w:rPr>
            </w:pPr>
            <w:r>
              <w:rPr>
                <w:b/>
                <w:bCs/>
                <w:sz w:val="16"/>
                <w:szCs w:val="16"/>
              </w:rPr>
              <w:t>10</w:t>
            </w:r>
          </w:p>
        </w:tc>
        <w:tc>
          <w:tcPr>
            <w:tcW w:w="1388" w:type="dxa"/>
            <w:tcBorders>
              <w:top w:val="single" w:sz="6" w:space="0" w:color="auto"/>
              <w:left w:val="single" w:sz="6" w:space="0" w:color="auto"/>
              <w:bottom w:val="single" w:sz="6" w:space="0" w:color="auto"/>
              <w:right w:val="single" w:sz="6" w:space="0" w:color="auto"/>
            </w:tcBorders>
          </w:tcPr>
          <w:p w14:paraId="5C076DD9" w14:textId="7AE9199D" w:rsidR="00863150" w:rsidRDefault="00316252">
            <w:pPr>
              <w:keepLines/>
              <w:spacing w:before="40" w:after="40" w:line="190" w:lineRule="exact"/>
              <w:jc w:val="center"/>
              <w:rPr>
                <w:b/>
                <w:bCs/>
                <w:sz w:val="16"/>
                <w:szCs w:val="16"/>
              </w:rPr>
            </w:pPr>
            <w:r>
              <w:rPr>
                <w:b/>
                <w:bCs/>
                <w:sz w:val="16"/>
                <w:szCs w:val="16"/>
              </w:rPr>
              <w:t>5</w:t>
            </w:r>
          </w:p>
        </w:tc>
        <w:tc>
          <w:tcPr>
            <w:tcW w:w="1022" w:type="dxa"/>
            <w:tcBorders>
              <w:top w:val="single" w:sz="6" w:space="0" w:color="auto"/>
              <w:left w:val="single" w:sz="6" w:space="0" w:color="auto"/>
              <w:bottom w:val="single" w:sz="6" w:space="0" w:color="auto"/>
              <w:right w:val="single" w:sz="6" w:space="0" w:color="auto"/>
            </w:tcBorders>
          </w:tcPr>
          <w:p w14:paraId="240E162B" w14:textId="26DC81D0" w:rsidR="00863150" w:rsidRDefault="00316252">
            <w:pPr>
              <w:keepLines/>
              <w:spacing w:before="40" w:after="40" w:line="190" w:lineRule="exact"/>
              <w:jc w:val="center"/>
              <w:rPr>
                <w:b/>
                <w:bCs/>
                <w:sz w:val="16"/>
                <w:szCs w:val="16"/>
              </w:rPr>
            </w:pPr>
            <w:r>
              <w:rPr>
                <w:b/>
                <w:bCs/>
                <w:sz w:val="16"/>
                <w:szCs w:val="16"/>
              </w:rPr>
              <w:t>31</w:t>
            </w:r>
          </w:p>
        </w:tc>
        <w:tc>
          <w:tcPr>
            <w:tcW w:w="992" w:type="dxa"/>
            <w:tcBorders>
              <w:top w:val="single" w:sz="6" w:space="0" w:color="auto"/>
              <w:left w:val="single" w:sz="6" w:space="0" w:color="auto"/>
              <w:bottom w:val="single" w:sz="6" w:space="0" w:color="auto"/>
              <w:right w:val="single" w:sz="6" w:space="0" w:color="auto"/>
            </w:tcBorders>
          </w:tcPr>
          <w:p w14:paraId="4B753E85" w14:textId="601E4376" w:rsidR="00863150" w:rsidRDefault="006714C1">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07DCD8D5" w14:textId="13452418" w:rsidR="00863150" w:rsidRPr="004F4242" w:rsidRDefault="00316252" w:rsidP="00316252">
            <w:pPr>
              <w:keepLines/>
              <w:spacing w:before="40" w:after="40" w:line="190" w:lineRule="exact"/>
              <w:jc w:val="left"/>
              <w:rPr>
                <w:sz w:val="16"/>
                <w:szCs w:val="16"/>
              </w:rPr>
            </w:pPr>
            <w:r w:rsidRPr="13259C12">
              <w:rPr>
                <w:sz w:val="16"/>
                <w:szCs w:val="16"/>
              </w:rPr>
              <w:t xml:space="preserve">The subsequent work and timeline for public comment is 13 October to </w:t>
            </w:r>
            <w:r w:rsidR="679B8734" w:rsidRPr="13259C12">
              <w:rPr>
                <w:sz w:val="16"/>
                <w:szCs w:val="16"/>
              </w:rPr>
              <w:t>10</w:t>
            </w:r>
            <w:r w:rsidRPr="13259C12">
              <w:rPr>
                <w:sz w:val="16"/>
                <w:szCs w:val="16"/>
              </w:rPr>
              <w:t xml:space="preserve"> Nov 2023.  </w:t>
            </w:r>
          </w:p>
          <w:p w14:paraId="32328BD5" w14:textId="5E867759" w:rsidR="00316252" w:rsidRPr="004F4242" w:rsidRDefault="00316252" w:rsidP="00316252">
            <w:pPr>
              <w:keepLines/>
              <w:spacing w:before="40" w:after="40" w:line="190" w:lineRule="exact"/>
              <w:jc w:val="left"/>
              <w:rPr>
                <w:sz w:val="16"/>
                <w:szCs w:val="16"/>
              </w:rPr>
            </w:pPr>
            <w:r w:rsidRPr="13259C12">
              <w:rPr>
                <w:sz w:val="16"/>
                <w:szCs w:val="16"/>
              </w:rPr>
              <w:t xml:space="preserve">The </w:t>
            </w:r>
            <w:proofErr w:type="spellStart"/>
            <w:r w:rsidRPr="13259C12">
              <w:rPr>
                <w:sz w:val="16"/>
                <w:szCs w:val="16"/>
              </w:rPr>
              <w:t>fNRB</w:t>
            </w:r>
            <w:proofErr w:type="spellEnd"/>
            <w:r w:rsidRPr="13259C12">
              <w:rPr>
                <w:sz w:val="16"/>
                <w:szCs w:val="16"/>
              </w:rPr>
              <w:t xml:space="preserve"> calculations and assumptions are complex, took years to develop, require 52 pages of methodological explanation and will have an enormous impact on the crediting for cookstove carbo</w:t>
            </w:r>
            <w:r w:rsidR="00AF1221" w:rsidRPr="13259C12">
              <w:rPr>
                <w:sz w:val="16"/>
                <w:szCs w:val="16"/>
              </w:rPr>
              <w:t>n</w:t>
            </w:r>
            <w:r w:rsidRPr="13259C12">
              <w:rPr>
                <w:sz w:val="16"/>
                <w:szCs w:val="16"/>
              </w:rPr>
              <w:t xml:space="preserve"> projects.  Allowing just </w:t>
            </w:r>
            <w:r w:rsidR="7DCBE1CE" w:rsidRPr="13259C12">
              <w:rPr>
                <w:sz w:val="16"/>
                <w:szCs w:val="16"/>
              </w:rPr>
              <w:t>21</w:t>
            </w:r>
            <w:r w:rsidRPr="13259C12">
              <w:rPr>
                <w:sz w:val="16"/>
                <w:szCs w:val="16"/>
              </w:rPr>
              <w:t xml:space="preserve"> working days for response does not permit sufficient time for scientific review or governmental comment.</w:t>
            </w:r>
          </w:p>
          <w:p w14:paraId="387747A2" w14:textId="16630655" w:rsidR="00316252" w:rsidRPr="004F4242" w:rsidRDefault="00316252" w:rsidP="00316252">
            <w:pPr>
              <w:keepLines/>
              <w:spacing w:before="40" w:after="40" w:line="190" w:lineRule="exact"/>
              <w:jc w:val="left"/>
              <w:rPr>
                <w:sz w:val="16"/>
                <w:szCs w:val="16"/>
              </w:rPr>
            </w:pPr>
            <w:r w:rsidRPr="004F4242">
              <w:rPr>
                <w:sz w:val="16"/>
                <w:szCs w:val="16"/>
              </w:rPr>
              <w:t xml:space="preserve">Globally, 2.4 billion rely on polluting cooking fuels and technologies, representing an urgent environmental, health and socioeconomic crisis. Emissions from burning wood fuels account for 3% of global emissions, akin to the impact of the aviation industry. </w:t>
            </w:r>
          </w:p>
          <w:p w14:paraId="5A3844BA" w14:textId="77777777" w:rsidR="005962CF" w:rsidRPr="004F4242" w:rsidRDefault="00316252" w:rsidP="00316252">
            <w:pPr>
              <w:keepLines/>
              <w:spacing w:before="40" w:after="40" w:line="190" w:lineRule="exact"/>
              <w:jc w:val="left"/>
              <w:rPr>
                <w:sz w:val="16"/>
                <w:szCs w:val="16"/>
              </w:rPr>
            </w:pPr>
            <w:r w:rsidRPr="004F4242">
              <w:rPr>
                <w:sz w:val="16"/>
                <w:szCs w:val="16"/>
              </w:rPr>
              <w:t xml:space="preserve">Achieving universal access to clean cooking by 2030 will require an estimated </w:t>
            </w:r>
            <w:hyperlink r:id="rId10">
              <w:r w:rsidRPr="004F4242">
                <w:rPr>
                  <w:rStyle w:val="Hyperlink"/>
                  <w:sz w:val="16"/>
                  <w:szCs w:val="16"/>
                </w:rPr>
                <w:t>$8-10 billion annually</w:t>
              </w:r>
            </w:hyperlink>
            <w:r w:rsidRPr="004F4242">
              <w:rPr>
                <w:sz w:val="16"/>
                <w:szCs w:val="16"/>
              </w:rPr>
              <w:t xml:space="preserve">. Current commitments stand at a </w:t>
            </w:r>
            <w:hyperlink r:id="rId11" w:anchor=":~:text=Each%20year%2C%20the%20clean%20cooking,%2C%20environmental%2C%20and%20economic%20impacts">
              <w:r w:rsidRPr="004F4242">
                <w:rPr>
                  <w:rStyle w:val="Hyperlink"/>
                  <w:sz w:val="16"/>
                  <w:szCs w:val="16"/>
                </w:rPr>
                <w:t>mere $130 million each year</w:t>
              </w:r>
            </w:hyperlink>
            <w:r w:rsidRPr="004F4242">
              <w:rPr>
                <w:sz w:val="16"/>
                <w:szCs w:val="16"/>
              </w:rPr>
              <w:t xml:space="preserve">. While clean cooking projects have helped millions gain access to clean cooking fuels and technologies in the past decade, the absolute number of people without access to clean cooking is outpacing the rate of growth. </w:t>
            </w:r>
          </w:p>
          <w:p w14:paraId="6BEC586B" w14:textId="16F2B2EF" w:rsidR="00316252" w:rsidRPr="004F4242" w:rsidRDefault="00316252" w:rsidP="00316252">
            <w:pPr>
              <w:keepLines/>
              <w:spacing w:before="40" w:after="40" w:line="190" w:lineRule="exact"/>
              <w:jc w:val="left"/>
              <w:rPr>
                <w:sz w:val="16"/>
                <w:szCs w:val="16"/>
              </w:rPr>
            </w:pPr>
            <w:r w:rsidRPr="004F4242">
              <w:rPr>
                <w:sz w:val="16"/>
                <w:szCs w:val="16"/>
              </w:rPr>
              <w:t xml:space="preserve">Carbon market funding has proven essential for scaling access to clean cooking, especially to poor, rural households in Sub-Saharan Africa and Southeast Asia. </w:t>
            </w:r>
            <w:proofErr w:type="spellStart"/>
            <w:r w:rsidRPr="004F4242">
              <w:rPr>
                <w:sz w:val="16"/>
                <w:szCs w:val="16"/>
              </w:rPr>
              <w:t>fNRB</w:t>
            </w:r>
            <w:proofErr w:type="spellEnd"/>
            <w:r w:rsidRPr="004F4242">
              <w:rPr>
                <w:sz w:val="16"/>
                <w:szCs w:val="16"/>
              </w:rPr>
              <w:t xml:space="preserve"> numbers have a marked effect</w:t>
            </w:r>
            <w:r w:rsidR="00481863" w:rsidRPr="004F4242">
              <w:rPr>
                <w:sz w:val="16"/>
                <w:szCs w:val="16"/>
              </w:rPr>
              <w:t xml:space="preserve"> on credit issuance.  Fewer credits issued impacts the necessary finance and verification of cookstove interventions.</w:t>
            </w:r>
          </w:p>
        </w:tc>
        <w:tc>
          <w:tcPr>
            <w:tcW w:w="4253" w:type="dxa"/>
            <w:tcBorders>
              <w:top w:val="single" w:sz="6" w:space="0" w:color="auto"/>
              <w:left w:val="single" w:sz="6" w:space="0" w:color="auto"/>
              <w:bottom w:val="single" w:sz="6" w:space="0" w:color="auto"/>
              <w:right w:val="single" w:sz="6" w:space="0" w:color="auto"/>
            </w:tcBorders>
          </w:tcPr>
          <w:p w14:paraId="074FAAED" w14:textId="744FE39F" w:rsidR="00863150" w:rsidRPr="004F4242" w:rsidRDefault="00316252" w:rsidP="00316252">
            <w:pPr>
              <w:keepLines/>
              <w:spacing w:before="40" w:after="40" w:line="190" w:lineRule="exact"/>
              <w:jc w:val="left"/>
              <w:rPr>
                <w:sz w:val="16"/>
                <w:szCs w:val="16"/>
              </w:rPr>
            </w:pPr>
            <w:r w:rsidRPr="004F4242">
              <w:rPr>
                <w:sz w:val="16"/>
                <w:szCs w:val="16"/>
              </w:rPr>
              <w:t xml:space="preserve">We recommend the comment period be extended from 13 October to </w:t>
            </w:r>
            <w:r w:rsidR="00A709F7" w:rsidRPr="004F4242">
              <w:rPr>
                <w:sz w:val="16"/>
                <w:szCs w:val="16"/>
              </w:rPr>
              <w:t>26</w:t>
            </w:r>
            <w:r w:rsidRPr="004F4242">
              <w:rPr>
                <w:sz w:val="16"/>
                <w:szCs w:val="16"/>
              </w:rPr>
              <w:t xml:space="preserve"> of January 2024.</w:t>
            </w:r>
          </w:p>
          <w:p w14:paraId="0AC7CC95" w14:textId="736F7E11" w:rsidR="00316252" w:rsidRPr="004F4242" w:rsidRDefault="006714C1" w:rsidP="00316252">
            <w:pPr>
              <w:keepLines/>
              <w:spacing w:before="40" w:after="40" w:line="190" w:lineRule="exact"/>
              <w:jc w:val="left"/>
              <w:rPr>
                <w:sz w:val="16"/>
                <w:szCs w:val="16"/>
              </w:rPr>
            </w:pPr>
            <w:r w:rsidRPr="004F4242">
              <w:rPr>
                <w:sz w:val="16"/>
                <w:szCs w:val="16"/>
              </w:rPr>
              <w:t>Proposed text:</w:t>
            </w:r>
          </w:p>
          <w:p w14:paraId="6508F47C" w14:textId="679D67DF" w:rsidR="00316252" w:rsidRPr="004F4242" w:rsidRDefault="00316252" w:rsidP="13259C12">
            <w:pPr>
              <w:keepLines/>
              <w:spacing w:before="40" w:after="40" w:line="190" w:lineRule="exact"/>
              <w:jc w:val="left"/>
              <w:rPr>
                <w:i/>
                <w:iCs/>
                <w:sz w:val="16"/>
                <w:szCs w:val="16"/>
              </w:rPr>
            </w:pPr>
            <w:r w:rsidRPr="13259C12">
              <w:rPr>
                <w:i/>
                <w:iCs/>
                <w:sz w:val="16"/>
                <w:szCs w:val="16"/>
              </w:rPr>
              <w:t xml:space="preserve">In response to stakeholder comments, the committee will extend the deadline for commenting on </w:t>
            </w:r>
            <w:proofErr w:type="spellStart"/>
            <w:r w:rsidRPr="13259C12">
              <w:rPr>
                <w:i/>
                <w:iCs/>
                <w:sz w:val="16"/>
                <w:szCs w:val="16"/>
              </w:rPr>
              <w:t>fNRB</w:t>
            </w:r>
            <w:proofErr w:type="spellEnd"/>
            <w:r w:rsidRPr="13259C12">
              <w:rPr>
                <w:i/>
                <w:iCs/>
                <w:sz w:val="16"/>
                <w:szCs w:val="16"/>
              </w:rPr>
              <w:t xml:space="preserve"> from </w:t>
            </w:r>
            <w:r w:rsidR="78C5B236" w:rsidRPr="13259C12">
              <w:rPr>
                <w:i/>
                <w:iCs/>
                <w:sz w:val="16"/>
                <w:szCs w:val="16"/>
              </w:rPr>
              <w:t>10</w:t>
            </w:r>
            <w:r w:rsidRPr="13259C12">
              <w:rPr>
                <w:i/>
                <w:iCs/>
                <w:sz w:val="16"/>
                <w:szCs w:val="16"/>
              </w:rPr>
              <w:t xml:space="preserve"> November 2023 to 19 January 2024.</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3981D61" w14:textId="77777777" w:rsidR="00863150" w:rsidRDefault="00863150">
            <w:pPr>
              <w:keepLines/>
              <w:spacing w:before="40" w:after="40" w:line="190" w:lineRule="exact"/>
              <w:jc w:val="center"/>
              <w:rPr>
                <w:b/>
                <w:bCs/>
                <w:sz w:val="16"/>
                <w:szCs w:val="16"/>
              </w:rPr>
            </w:pPr>
          </w:p>
        </w:tc>
      </w:tr>
      <w:tr w:rsidR="00863150" w14:paraId="7BCB2812" w14:textId="77777777" w:rsidTr="6316D333">
        <w:trPr>
          <w:cantSplit/>
          <w:jc w:val="center"/>
        </w:trPr>
        <w:tc>
          <w:tcPr>
            <w:tcW w:w="360" w:type="dxa"/>
            <w:tcBorders>
              <w:top w:val="single" w:sz="6" w:space="0" w:color="auto"/>
              <w:left w:val="single" w:sz="6" w:space="0" w:color="auto"/>
              <w:bottom w:val="single" w:sz="6" w:space="0" w:color="auto"/>
              <w:right w:val="single" w:sz="6" w:space="0" w:color="auto"/>
            </w:tcBorders>
          </w:tcPr>
          <w:p w14:paraId="630BE0CC" w14:textId="77777777"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59BBCE6B" w14:textId="73BB9F99" w:rsidR="00863150" w:rsidRDefault="00563708">
            <w:pPr>
              <w:keepLines/>
              <w:spacing w:before="40" w:after="40" w:line="190" w:lineRule="exact"/>
              <w:jc w:val="center"/>
              <w:rPr>
                <w:b/>
                <w:bCs/>
                <w:sz w:val="16"/>
                <w:szCs w:val="16"/>
              </w:rPr>
            </w:pPr>
            <w:r>
              <w:rPr>
                <w:b/>
                <w:bCs/>
                <w:sz w:val="16"/>
                <w:szCs w:val="16"/>
              </w:rPr>
              <w:t>3.1</w:t>
            </w:r>
          </w:p>
        </w:tc>
        <w:tc>
          <w:tcPr>
            <w:tcW w:w="1022" w:type="dxa"/>
            <w:tcBorders>
              <w:top w:val="single" w:sz="6" w:space="0" w:color="auto"/>
              <w:left w:val="single" w:sz="6" w:space="0" w:color="auto"/>
              <w:bottom w:val="single" w:sz="6" w:space="0" w:color="auto"/>
              <w:right w:val="single" w:sz="6" w:space="0" w:color="auto"/>
            </w:tcBorders>
          </w:tcPr>
          <w:p w14:paraId="14EAD6AF" w14:textId="7FE699ED" w:rsidR="00863150" w:rsidRDefault="00563708">
            <w:pPr>
              <w:keepLines/>
              <w:spacing w:before="40" w:after="40" w:line="190" w:lineRule="exact"/>
              <w:jc w:val="center"/>
              <w:rPr>
                <w:b/>
                <w:bCs/>
                <w:sz w:val="16"/>
                <w:szCs w:val="16"/>
              </w:rPr>
            </w:pPr>
            <w:r>
              <w:rPr>
                <w:b/>
                <w:bCs/>
                <w:sz w:val="16"/>
                <w:szCs w:val="16"/>
              </w:rPr>
              <w:t>3</w:t>
            </w:r>
          </w:p>
        </w:tc>
        <w:tc>
          <w:tcPr>
            <w:tcW w:w="992" w:type="dxa"/>
            <w:tcBorders>
              <w:top w:val="single" w:sz="6" w:space="0" w:color="auto"/>
              <w:left w:val="single" w:sz="6" w:space="0" w:color="auto"/>
              <w:bottom w:val="single" w:sz="6" w:space="0" w:color="auto"/>
              <w:right w:val="single" w:sz="6" w:space="0" w:color="auto"/>
            </w:tcBorders>
          </w:tcPr>
          <w:p w14:paraId="103ABC10" w14:textId="41A9F48C" w:rsidR="00863150" w:rsidRDefault="00563708">
            <w:pPr>
              <w:keepLines/>
              <w:spacing w:before="40" w:after="40" w:line="190" w:lineRule="exact"/>
              <w:jc w:val="center"/>
              <w:rPr>
                <w:b/>
                <w:bCs/>
                <w:sz w:val="16"/>
                <w:szCs w:val="16"/>
              </w:rPr>
            </w:pPr>
            <w:r>
              <w:rPr>
                <w:b/>
                <w:bCs/>
                <w:sz w:val="16"/>
                <w:szCs w:val="16"/>
              </w:rPr>
              <w:t>Ge</w:t>
            </w:r>
          </w:p>
        </w:tc>
        <w:tc>
          <w:tcPr>
            <w:tcW w:w="4762" w:type="dxa"/>
            <w:tcBorders>
              <w:top w:val="single" w:sz="6" w:space="0" w:color="auto"/>
              <w:left w:val="single" w:sz="6" w:space="0" w:color="auto"/>
              <w:bottom w:val="single" w:sz="6" w:space="0" w:color="auto"/>
              <w:right w:val="single" w:sz="6" w:space="0" w:color="auto"/>
            </w:tcBorders>
          </w:tcPr>
          <w:p w14:paraId="384D660A" w14:textId="31C959FB" w:rsidR="00863150" w:rsidRPr="00563708" w:rsidRDefault="00563708" w:rsidP="00563708">
            <w:pPr>
              <w:keepLines/>
              <w:spacing w:before="40" w:after="40" w:line="190" w:lineRule="exact"/>
              <w:jc w:val="left"/>
              <w:rPr>
                <w:sz w:val="16"/>
                <w:szCs w:val="16"/>
              </w:rPr>
            </w:pPr>
            <w:proofErr w:type="spellStart"/>
            <w:r w:rsidRPr="00563708">
              <w:rPr>
                <w:sz w:val="16"/>
                <w:szCs w:val="16"/>
              </w:rPr>
              <w:t>fNRB</w:t>
            </w:r>
            <w:proofErr w:type="spellEnd"/>
            <w:r w:rsidRPr="00563708">
              <w:rPr>
                <w:sz w:val="16"/>
                <w:szCs w:val="16"/>
              </w:rPr>
              <w:t xml:space="preserve"> impacts </w:t>
            </w:r>
            <w:r w:rsidR="005D03D6">
              <w:rPr>
                <w:sz w:val="16"/>
                <w:szCs w:val="16"/>
              </w:rPr>
              <w:t xml:space="preserve">carbon projects </w:t>
            </w:r>
            <w:r w:rsidR="002E547D">
              <w:rPr>
                <w:sz w:val="16"/>
                <w:szCs w:val="16"/>
              </w:rPr>
              <w:t>a</w:t>
            </w:r>
            <w:r w:rsidR="005D03D6">
              <w:rPr>
                <w:sz w:val="16"/>
                <w:szCs w:val="16"/>
              </w:rPr>
              <w:t xml:space="preserve">nd </w:t>
            </w:r>
            <w:r w:rsidR="002E547D">
              <w:rPr>
                <w:sz w:val="16"/>
                <w:szCs w:val="16"/>
              </w:rPr>
              <w:t>methodologies</w:t>
            </w:r>
            <w:r w:rsidRPr="00563708">
              <w:rPr>
                <w:sz w:val="16"/>
                <w:szCs w:val="16"/>
              </w:rPr>
              <w:t xml:space="preserve"> beyond just cookstove projects</w:t>
            </w:r>
          </w:p>
        </w:tc>
        <w:tc>
          <w:tcPr>
            <w:tcW w:w="4253" w:type="dxa"/>
            <w:tcBorders>
              <w:top w:val="single" w:sz="6" w:space="0" w:color="auto"/>
              <w:left w:val="single" w:sz="6" w:space="0" w:color="auto"/>
              <w:bottom w:val="single" w:sz="6" w:space="0" w:color="auto"/>
              <w:right w:val="single" w:sz="6" w:space="0" w:color="auto"/>
            </w:tcBorders>
          </w:tcPr>
          <w:p w14:paraId="24EC729E" w14:textId="77777777" w:rsidR="00863150" w:rsidRDefault="00563708" w:rsidP="00563708">
            <w:pPr>
              <w:keepLines/>
              <w:spacing w:before="40" w:after="40" w:line="190" w:lineRule="exact"/>
              <w:jc w:val="left"/>
              <w:rPr>
                <w:sz w:val="16"/>
                <w:szCs w:val="16"/>
              </w:rPr>
            </w:pPr>
            <w:r w:rsidRPr="00563708">
              <w:rPr>
                <w:sz w:val="16"/>
                <w:szCs w:val="16"/>
              </w:rPr>
              <w:t>Include other project types and methodologies</w:t>
            </w:r>
            <w:r w:rsidR="00095C69">
              <w:rPr>
                <w:sz w:val="16"/>
                <w:szCs w:val="16"/>
              </w:rPr>
              <w:t>.</w:t>
            </w:r>
          </w:p>
          <w:p w14:paraId="6577B3C0" w14:textId="77777777" w:rsidR="00095C69" w:rsidRDefault="00095C69" w:rsidP="00563708">
            <w:pPr>
              <w:keepLines/>
              <w:spacing w:before="40" w:after="40" w:line="190" w:lineRule="exact"/>
              <w:jc w:val="left"/>
              <w:rPr>
                <w:i/>
                <w:iCs/>
                <w:sz w:val="16"/>
                <w:szCs w:val="16"/>
              </w:rPr>
            </w:pPr>
            <w:r>
              <w:rPr>
                <w:sz w:val="16"/>
                <w:szCs w:val="16"/>
              </w:rPr>
              <w:t>Proposed text:</w:t>
            </w:r>
            <w:r>
              <w:rPr>
                <w:sz w:val="16"/>
                <w:szCs w:val="16"/>
              </w:rPr>
              <w:br/>
            </w:r>
            <w:r w:rsidRPr="00095C69">
              <w:rPr>
                <w:i/>
                <w:iCs/>
                <w:sz w:val="16"/>
                <w:szCs w:val="16"/>
              </w:rPr>
              <w:t>CDM programmes of activities (</w:t>
            </w:r>
            <w:proofErr w:type="spellStart"/>
            <w:r w:rsidRPr="00095C69">
              <w:rPr>
                <w:i/>
                <w:iCs/>
                <w:sz w:val="16"/>
                <w:szCs w:val="16"/>
              </w:rPr>
              <w:t>PoAs</w:t>
            </w:r>
            <w:proofErr w:type="spellEnd"/>
            <w:r w:rsidRPr="00095C69">
              <w:rPr>
                <w:i/>
                <w:iCs/>
                <w:sz w:val="16"/>
                <w:szCs w:val="16"/>
              </w:rPr>
              <w:t xml:space="preserve">) </w:t>
            </w:r>
            <w:r w:rsidR="00830922">
              <w:rPr>
                <w:i/>
                <w:iCs/>
                <w:sz w:val="16"/>
                <w:szCs w:val="16"/>
              </w:rPr>
              <w:t xml:space="preserve">include many </w:t>
            </w:r>
            <w:r w:rsidRPr="00095C69">
              <w:rPr>
                <w:i/>
                <w:iCs/>
                <w:sz w:val="16"/>
                <w:szCs w:val="16"/>
              </w:rPr>
              <w:t>project</w:t>
            </w:r>
            <w:r w:rsidR="00830922">
              <w:rPr>
                <w:i/>
                <w:iCs/>
                <w:sz w:val="16"/>
                <w:szCs w:val="16"/>
              </w:rPr>
              <w:t xml:space="preserve"> types</w:t>
            </w:r>
            <w:r w:rsidRPr="00095C69">
              <w:rPr>
                <w:i/>
                <w:iCs/>
                <w:sz w:val="16"/>
                <w:szCs w:val="16"/>
              </w:rPr>
              <w:t xml:space="preserve"> which reduce consumption of non-renewable </w:t>
            </w:r>
            <w:proofErr w:type="gramStart"/>
            <w:r w:rsidRPr="00095C69">
              <w:rPr>
                <w:i/>
                <w:iCs/>
                <w:sz w:val="16"/>
                <w:szCs w:val="16"/>
              </w:rPr>
              <w:t>biomass</w:t>
            </w:r>
            <w:proofErr w:type="gramEnd"/>
          </w:p>
          <w:p w14:paraId="0C505844" w14:textId="6E49C2F8" w:rsidR="00830922" w:rsidRPr="00563708" w:rsidRDefault="00830922" w:rsidP="00563708">
            <w:pPr>
              <w:keepLines/>
              <w:spacing w:before="40" w:after="40" w:line="190" w:lineRule="exact"/>
              <w:jc w:val="left"/>
              <w:rPr>
                <w:sz w:val="16"/>
                <w:szCs w:val="16"/>
              </w:rPr>
            </w:pPr>
            <w:r>
              <w:rPr>
                <w:i/>
                <w:iCs/>
                <w:sz w:val="16"/>
                <w:szCs w:val="16"/>
              </w:rPr>
              <w:t>(List methodologies)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156D8E3" w14:textId="77777777" w:rsidR="00863150" w:rsidRDefault="00863150">
            <w:pPr>
              <w:keepLines/>
              <w:spacing w:before="40" w:after="40" w:line="190" w:lineRule="exact"/>
              <w:jc w:val="center"/>
              <w:rPr>
                <w:b/>
                <w:bCs/>
                <w:sz w:val="16"/>
                <w:szCs w:val="16"/>
              </w:rPr>
            </w:pPr>
          </w:p>
        </w:tc>
      </w:tr>
      <w:tr w:rsidR="00863150" w14:paraId="1DD2AA5D" w14:textId="77777777" w:rsidTr="6316D333">
        <w:trPr>
          <w:cantSplit/>
          <w:jc w:val="center"/>
        </w:trPr>
        <w:tc>
          <w:tcPr>
            <w:tcW w:w="360" w:type="dxa"/>
            <w:tcBorders>
              <w:top w:val="single" w:sz="6" w:space="0" w:color="auto"/>
              <w:left w:val="single" w:sz="6" w:space="0" w:color="auto"/>
              <w:bottom w:val="single" w:sz="6" w:space="0" w:color="auto"/>
              <w:right w:val="single" w:sz="6" w:space="0" w:color="auto"/>
            </w:tcBorders>
          </w:tcPr>
          <w:p w14:paraId="3BCD2FCE" w14:textId="77777777"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49AFBB31" w14:textId="25E99D8D" w:rsidR="00863150" w:rsidRDefault="00563708">
            <w:pPr>
              <w:keepLines/>
              <w:spacing w:before="40" w:after="40" w:line="190" w:lineRule="exact"/>
              <w:jc w:val="center"/>
              <w:rPr>
                <w:b/>
                <w:bCs/>
                <w:sz w:val="16"/>
                <w:szCs w:val="16"/>
              </w:rPr>
            </w:pPr>
            <w:r>
              <w:rPr>
                <w:b/>
                <w:bCs/>
                <w:sz w:val="16"/>
                <w:szCs w:val="16"/>
              </w:rPr>
              <w:t>3.1</w:t>
            </w:r>
          </w:p>
        </w:tc>
        <w:tc>
          <w:tcPr>
            <w:tcW w:w="1022" w:type="dxa"/>
            <w:tcBorders>
              <w:top w:val="single" w:sz="6" w:space="0" w:color="auto"/>
              <w:left w:val="single" w:sz="6" w:space="0" w:color="auto"/>
              <w:bottom w:val="single" w:sz="6" w:space="0" w:color="auto"/>
              <w:right w:val="single" w:sz="6" w:space="0" w:color="auto"/>
            </w:tcBorders>
          </w:tcPr>
          <w:p w14:paraId="75AD19F8" w14:textId="2DE7DFC2" w:rsidR="00863150" w:rsidRDefault="0048149B">
            <w:pPr>
              <w:keepLines/>
              <w:spacing w:before="40" w:after="40" w:line="190" w:lineRule="exact"/>
              <w:jc w:val="center"/>
              <w:rPr>
                <w:b/>
                <w:bCs/>
                <w:sz w:val="16"/>
                <w:szCs w:val="16"/>
              </w:rPr>
            </w:pPr>
            <w:r>
              <w:rPr>
                <w:b/>
                <w:bCs/>
                <w:sz w:val="16"/>
                <w:szCs w:val="16"/>
              </w:rPr>
              <w:t>5&amp;</w:t>
            </w:r>
            <w:r w:rsidR="00563708">
              <w:rPr>
                <w:b/>
                <w:bCs/>
                <w:sz w:val="16"/>
                <w:szCs w:val="16"/>
              </w:rPr>
              <w:t>6</w:t>
            </w:r>
          </w:p>
        </w:tc>
        <w:tc>
          <w:tcPr>
            <w:tcW w:w="992" w:type="dxa"/>
            <w:tcBorders>
              <w:top w:val="single" w:sz="6" w:space="0" w:color="auto"/>
              <w:left w:val="single" w:sz="6" w:space="0" w:color="auto"/>
              <w:bottom w:val="single" w:sz="6" w:space="0" w:color="auto"/>
              <w:right w:val="single" w:sz="6" w:space="0" w:color="auto"/>
            </w:tcBorders>
          </w:tcPr>
          <w:p w14:paraId="0CCA30C3" w14:textId="750285EF" w:rsidR="00863150" w:rsidRDefault="00563708">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43BD7172" w14:textId="66B18602" w:rsidR="00863150" w:rsidRPr="00563708" w:rsidRDefault="00563708" w:rsidP="00563708">
            <w:pPr>
              <w:keepLines/>
              <w:spacing w:before="40" w:after="40" w:line="190" w:lineRule="exact"/>
              <w:jc w:val="left"/>
              <w:rPr>
                <w:sz w:val="16"/>
                <w:szCs w:val="16"/>
              </w:rPr>
            </w:pPr>
            <w:r w:rsidRPr="00563708">
              <w:rPr>
                <w:sz w:val="16"/>
                <w:szCs w:val="16"/>
              </w:rPr>
              <w:t>Presumably there was no intention that the 0.3 ‘global default’ would ever be used</w:t>
            </w:r>
            <w:r>
              <w:rPr>
                <w:sz w:val="16"/>
                <w:szCs w:val="16"/>
              </w:rPr>
              <w:t xml:space="preserve"> in project-specific applications</w:t>
            </w:r>
            <w:r w:rsidRPr="00563708">
              <w:rPr>
                <w:sz w:val="16"/>
                <w:szCs w:val="16"/>
              </w:rPr>
              <w:t>. It represents the least accurate wa</w:t>
            </w:r>
            <w:r>
              <w:rPr>
                <w:sz w:val="16"/>
                <w:szCs w:val="16"/>
              </w:rPr>
              <w:t>y</w:t>
            </w:r>
            <w:r w:rsidRPr="00563708">
              <w:rPr>
                <w:sz w:val="16"/>
                <w:szCs w:val="16"/>
              </w:rPr>
              <w:t xml:space="preserve"> of assessing this parameter value</w:t>
            </w:r>
            <w:r>
              <w:rPr>
                <w:sz w:val="16"/>
                <w:szCs w:val="16"/>
              </w:rPr>
              <w:t xml:space="preserve"> at the project level</w:t>
            </w:r>
            <w:r w:rsidRPr="00563708">
              <w:rPr>
                <w:sz w:val="16"/>
                <w:szCs w:val="16"/>
              </w:rPr>
              <w:t xml:space="preserve">. Stating that the other two options “yielded much higher and therefore less conservative values of the </w:t>
            </w:r>
            <w:proofErr w:type="spellStart"/>
            <w:r w:rsidRPr="00563708">
              <w:rPr>
                <w:i/>
                <w:iCs/>
                <w:sz w:val="16"/>
                <w:szCs w:val="16"/>
              </w:rPr>
              <w:t>fNRB</w:t>
            </w:r>
            <w:proofErr w:type="spellEnd"/>
            <w:r w:rsidRPr="00563708">
              <w:rPr>
                <w:i/>
                <w:iCs/>
                <w:sz w:val="16"/>
                <w:szCs w:val="16"/>
              </w:rPr>
              <w:t xml:space="preserve">” </w:t>
            </w:r>
            <w:r w:rsidRPr="00563708">
              <w:rPr>
                <w:sz w:val="16"/>
                <w:szCs w:val="16"/>
              </w:rPr>
              <w:t xml:space="preserve">completely neglects </w:t>
            </w:r>
            <w:r>
              <w:rPr>
                <w:sz w:val="16"/>
                <w:szCs w:val="16"/>
              </w:rPr>
              <w:t>to mention the vital importance of accuracy</w:t>
            </w:r>
            <w:r w:rsidRPr="00563708">
              <w:rPr>
                <w:sz w:val="16"/>
                <w:szCs w:val="16"/>
              </w:rPr>
              <w:t xml:space="preserve"> in the calculations</w:t>
            </w:r>
            <w:r>
              <w:rPr>
                <w:sz w:val="16"/>
                <w:szCs w:val="16"/>
              </w:rPr>
              <w:t xml:space="preserve"> and positions this paper in the wrong way – </w:t>
            </w:r>
            <w:proofErr w:type="gramStart"/>
            <w:r>
              <w:rPr>
                <w:sz w:val="16"/>
                <w:szCs w:val="16"/>
              </w:rPr>
              <w:t>i.e.</w:t>
            </w:r>
            <w:proofErr w:type="gramEnd"/>
            <w:r>
              <w:rPr>
                <w:sz w:val="16"/>
                <w:szCs w:val="16"/>
              </w:rPr>
              <w:t xml:space="preserve"> that anything over 0.3 is not conservative; rather than discussing the more important aspect of accuracy. If we prioritize conservativeness over accuracy, then why not a default </w:t>
            </w:r>
            <w:proofErr w:type="spellStart"/>
            <w:r>
              <w:rPr>
                <w:sz w:val="16"/>
                <w:szCs w:val="16"/>
              </w:rPr>
              <w:t>fNRB</w:t>
            </w:r>
            <w:proofErr w:type="spellEnd"/>
            <w:r>
              <w:rPr>
                <w:sz w:val="16"/>
                <w:szCs w:val="16"/>
              </w:rPr>
              <w:t xml:space="preserve"> value of 0.2 or 0.1?</w:t>
            </w:r>
          </w:p>
        </w:tc>
        <w:tc>
          <w:tcPr>
            <w:tcW w:w="4253" w:type="dxa"/>
            <w:tcBorders>
              <w:top w:val="single" w:sz="6" w:space="0" w:color="auto"/>
              <w:left w:val="single" w:sz="6" w:space="0" w:color="auto"/>
              <w:bottom w:val="single" w:sz="6" w:space="0" w:color="auto"/>
              <w:right w:val="single" w:sz="6" w:space="0" w:color="auto"/>
            </w:tcBorders>
          </w:tcPr>
          <w:p w14:paraId="6C139C27" w14:textId="77777777" w:rsidR="00863150" w:rsidRDefault="00563708" w:rsidP="00563708">
            <w:pPr>
              <w:keepLines/>
              <w:spacing w:before="40" w:after="40" w:line="190" w:lineRule="exact"/>
              <w:jc w:val="left"/>
              <w:rPr>
                <w:sz w:val="16"/>
                <w:szCs w:val="16"/>
              </w:rPr>
            </w:pPr>
            <w:r>
              <w:rPr>
                <w:sz w:val="16"/>
                <w:szCs w:val="16"/>
              </w:rPr>
              <w:t xml:space="preserve">Include the vital component of </w:t>
            </w:r>
            <w:r w:rsidR="008831CB">
              <w:rPr>
                <w:sz w:val="16"/>
                <w:szCs w:val="16"/>
              </w:rPr>
              <w:t xml:space="preserve">prioritizing </w:t>
            </w:r>
            <w:r>
              <w:rPr>
                <w:sz w:val="16"/>
                <w:szCs w:val="16"/>
              </w:rPr>
              <w:t>accuracy in assessment of the parameter value, which is of higher importance than just pure ‘conservativeness’. Greater accuracy can be achieved by assessing the parameter value at the sub-national, project level.</w:t>
            </w:r>
          </w:p>
          <w:p w14:paraId="388C760D" w14:textId="77777777" w:rsidR="00830922" w:rsidRDefault="00830922" w:rsidP="00563708">
            <w:pPr>
              <w:keepLines/>
              <w:spacing w:before="40" w:after="40" w:line="190" w:lineRule="exact"/>
              <w:jc w:val="left"/>
              <w:rPr>
                <w:sz w:val="16"/>
                <w:szCs w:val="16"/>
              </w:rPr>
            </w:pPr>
            <w:r>
              <w:rPr>
                <w:sz w:val="16"/>
                <w:szCs w:val="16"/>
              </w:rPr>
              <w:t>Proposed text:</w:t>
            </w:r>
          </w:p>
          <w:p w14:paraId="02D724DD" w14:textId="7AC596C6" w:rsidR="001421BB" w:rsidRDefault="00607DB4" w:rsidP="00563708">
            <w:pPr>
              <w:keepLines/>
              <w:spacing w:before="40" w:after="40" w:line="190" w:lineRule="exact"/>
              <w:jc w:val="left"/>
              <w:rPr>
                <w:i/>
                <w:iCs/>
                <w:sz w:val="16"/>
                <w:szCs w:val="16"/>
              </w:rPr>
            </w:pPr>
            <w:r>
              <w:rPr>
                <w:i/>
                <w:iCs/>
                <w:sz w:val="16"/>
                <w:szCs w:val="16"/>
              </w:rPr>
              <w:t xml:space="preserve">5. </w:t>
            </w:r>
            <w:r w:rsidR="001421BB" w:rsidRPr="00B20CF0">
              <w:rPr>
                <w:i/>
                <w:iCs/>
                <w:sz w:val="16"/>
                <w:szCs w:val="16"/>
              </w:rPr>
              <w:t xml:space="preserve">The current default value of 0.3 that can be applied globally was adopted by the Board at its 97th meeting as a conservative default, </w:t>
            </w:r>
            <w:proofErr w:type="gramStart"/>
            <w:r w:rsidR="001421BB" w:rsidRPr="00B20CF0">
              <w:rPr>
                <w:i/>
                <w:iCs/>
                <w:sz w:val="16"/>
                <w:szCs w:val="16"/>
              </w:rPr>
              <w:t>taking into account</w:t>
            </w:r>
            <w:proofErr w:type="gramEnd"/>
            <w:r w:rsidR="001421BB" w:rsidRPr="00B20CF0">
              <w:rPr>
                <w:i/>
                <w:iCs/>
                <w:sz w:val="16"/>
                <w:szCs w:val="16"/>
              </w:rPr>
              <w:t xml:space="preserve"> literature available at that time, however it is acknow</w:t>
            </w:r>
            <w:r w:rsidR="00B20CF0" w:rsidRPr="00B20CF0">
              <w:rPr>
                <w:i/>
                <w:iCs/>
                <w:sz w:val="16"/>
                <w:szCs w:val="16"/>
              </w:rPr>
              <w:t xml:space="preserve">ledged that this is the least accurate approach to calculating project-level </w:t>
            </w:r>
            <w:proofErr w:type="spellStart"/>
            <w:r w:rsidR="00B20CF0" w:rsidRPr="00B20CF0">
              <w:rPr>
                <w:i/>
                <w:iCs/>
                <w:sz w:val="16"/>
                <w:szCs w:val="16"/>
              </w:rPr>
              <w:t>fNRB</w:t>
            </w:r>
            <w:proofErr w:type="spellEnd"/>
          </w:p>
          <w:p w14:paraId="53696C2B" w14:textId="2567D21E" w:rsidR="00607DB4" w:rsidRDefault="0048149B" w:rsidP="00563708">
            <w:pPr>
              <w:keepLines/>
              <w:spacing w:before="40" w:after="40" w:line="190" w:lineRule="exact"/>
              <w:jc w:val="left"/>
              <w:rPr>
                <w:i/>
                <w:iCs/>
                <w:sz w:val="16"/>
                <w:szCs w:val="16"/>
              </w:rPr>
            </w:pPr>
            <w:r>
              <w:rPr>
                <w:i/>
                <w:iCs/>
                <w:sz w:val="16"/>
                <w:szCs w:val="16"/>
              </w:rPr>
              <w:t xml:space="preserve">6. </w:t>
            </w:r>
            <w:r w:rsidR="00094EBC" w:rsidRPr="00094EBC">
              <w:rPr>
                <w:i/>
                <w:iCs/>
                <w:sz w:val="16"/>
                <w:szCs w:val="16"/>
              </w:rPr>
              <w:t xml:space="preserve">Over time, it became apparent that this universal default value of 0.3 has seldom been applied in CDM projects and </w:t>
            </w:r>
            <w:proofErr w:type="spellStart"/>
            <w:r w:rsidR="00094EBC" w:rsidRPr="00094EBC">
              <w:rPr>
                <w:i/>
                <w:iCs/>
                <w:sz w:val="16"/>
                <w:szCs w:val="16"/>
              </w:rPr>
              <w:t>PoAs</w:t>
            </w:r>
            <w:proofErr w:type="spellEnd"/>
            <w:r w:rsidR="00094EBC">
              <w:rPr>
                <w:i/>
                <w:iCs/>
                <w:sz w:val="16"/>
                <w:szCs w:val="16"/>
              </w:rPr>
              <w:t xml:space="preserve"> owing to this clear lack of accuracy</w:t>
            </w:r>
            <w:r w:rsidR="002B6D13">
              <w:rPr>
                <w:i/>
                <w:iCs/>
                <w:sz w:val="16"/>
                <w:szCs w:val="16"/>
              </w:rPr>
              <w:t xml:space="preserve"> obtained from a global default</w:t>
            </w:r>
            <w:r w:rsidR="00094EBC" w:rsidRPr="00094EBC">
              <w:rPr>
                <w:i/>
                <w:iCs/>
                <w:sz w:val="16"/>
                <w:szCs w:val="16"/>
              </w:rPr>
              <w:t xml:space="preserve">. Instead, most projects </w:t>
            </w:r>
            <w:r w:rsidR="00094EBC">
              <w:rPr>
                <w:i/>
                <w:iCs/>
                <w:sz w:val="16"/>
                <w:szCs w:val="16"/>
              </w:rPr>
              <w:t>employed</w:t>
            </w:r>
            <w:r w:rsidR="00094EBC" w:rsidRPr="00094EBC">
              <w:rPr>
                <w:i/>
                <w:iCs/>
                <w:sz w:val="16"/>
                <w:szCs w:val="16"/>
              </w:rPr>
              <w:t xml:space="preserve"> either of the other two options which yielded higher</w:t>
            </w:r>
            <w:r w:rsidR="00094EBC">
              <w:rPr>
                <w:i/>
                <w:iCs/>
                <w:sz w:val="16"/>
                <w:szCs w:val="16"/>
              </w:rPr>
              <w:t>, yet more accurate and project-specific</w:t>
            </w:r>
            <w:r w:rsidR="00B56CB4">
              <w:rPr>
                <w:i/>
                <w:iCs/>
                <w:sz w:val="16"/>
                <w:szCs w:val="16"/>
              </w:rPr>
              <w:t>,</w:t>
            </w:r>
            <w:r w:rsidR="00094EBC" w:rsidRPr="00094EBC">
              <w:rPr>
                <w:i/>
                <w:iCs/>
                <w:sz w:val="16"/>
                <w:szCs w:val="16"/>
              </w:rPr>
              <w:t xml:space="preserve"> values </w:t>
            </w:r>
            <w:r w:rsidR="00920058">
              <w:rPr>
                <w:i/>
                <w:iCs/>
                <w:sz w:val="16"/>
                <w:szCs w:val="16"/>
              </w:rPr>
              <w:t>for</w:t>
            </w:r>
            <w:r w:rsidR="00094EBC" w:rsidRPr="00094EBC">
              <w:rPr>
                <w:i/>
                <w:iCs/>
                <w:sz w:val="16"/>
                <w:szCs w:val="16"/>
              </w:rPr>
              <w:t xml:space="preserve"> the </w:t>
            </w:r>
            <w:proofErr w:type="spellStart"/>
            <w:r w:rsidR="00094EBC" w:rsidRPr="00094EBC">
              <w:rPr>
                <w:i/>
                <w:iCs/>
                <w:sz w:val="16"/>
                <w:szCs w:val="16"/>
              </w:rPr>
              <w:t>fNRB</w:t>
            </w:r>
            <w:proofErr w:type="spellEnd"/>
            <w:r w:rsidR="00DD4091">
              <w:rPr>
                <w:i/>
                <w:iCs/>
                <w:sz w:val="16"/>
                <w:szCs w:val="16"/>
              </w:rPr>
              <w:t xml:space="preserve"> Most projects adopted</w:t>
            </w:r>
            <w:r w:rsidR="00C6118F">
              <w:rPr>
                <w:i/>
                <w:iCs/>
                <w:sz w:val="16"/>
                <w:szCs w:val="16"/>
              </w:rPr>
              <w:t xml:space="preserve"> the</w:t>
            </w:r>
            <w:r w:rsidR="00006194">
              <w:rPr>
                <w:i/>
                <w:iCs/>
                <w:sz w:val="16"/>
                <w:szCs w:val="16"/>
              </w:rPr>
              <w:t xml:space="preserve"> most recent version of</w:t>
            </w:r>
            <w:r w:rsidR="00C6118F">
              <w:rPr>
                <w:i/>
                <w:iCs/>
                <w:sz w:val="16"/>
                <w:szCs w:val="16"/>
              </w:rPr>
              <w:t xml:space="preserve"> CDM Tool </w:t>
            </w:r>
            <w:r w:rsidR="004354FC">
              <w:rPr>
                <w:i/>
                <w:iCs/>
                <w:sz w:val="16"/>
                <w:szCs w:val="16"/>
              </w:rPr>
              <w:t xml:space="preserve">30 </w:t>
            </w:r>
            <w:r w:rsidR="00006194">
              <w:rPr>
                <w:i/>
                <w:iCs/>
                <w:sz w:val="16"/>
                <w:szCs w:val="16"/>
              </w:rPr>
              <w:t>in accordance with methodological requirements.</w:t>
            </w:r>
          </w:p>
          <w:p w14:paraId="55B5FCA0" w14:textId="74482044" w:rsidR="00607DB4" w:rsidRPr="00563708" w:rsidRDefault="00607DB4" w:rsidP="00563708">
            <w:pPr>
              <w:keepLines/>
              <w:spacing w:before="40" w:after="40" w:line="190" w:lineRule="exact"/>
              <w:jc w:val="left"/>
              <w:rPr>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1A97AA4" w14:textId="77777777" w:rsidR="00863150" w:rsidRDefault="00863150">
            <w:pPr>
              <w:keepLines/>
              <w:spacing w:before="40" w:after="40" w:line="190" w:lineRule="exact"/>
              <w:jc w:val="center"/>
              <w:rPr>
                <w:b/>
                <w:bCs/>
                <w:sz w:val="16"/>
                <w:szCs w:val="16"/>
              </w:rPr>
            </w:pPr>
          </w:p>
        </w:tc>
      </w:tr>
      <w:tr w:rsidR="00863150" w14:paraId="4452319A" w14:textId="77777777" w:rsidTr="6316D333">
        <w:trPr>
          <w:cantSplit/>
          <w:jc w:val="center"/>
        </w:trPr>
        <w:tc>
          <w:tcPr>
            <w:tcW w:w="360" w:type="dxa"/>
            <w:tcBorders>
              <w:top w:val="single" w:sz="6" w:space="0" w:color="auto"/>
              <w:left w:val="single" w:sz="6" w:space="0" w:color="auto"/>
              <w:bottom w:val="single" w:sz="6" w:space="0" w:color="auto"/>
              <w:right w:val="single" w:sz="6" w:space="0" w:color="auto"/>
            </w:tcBorders>
          </w:tcPr>
          <w:p w14:paraId="35DE81E2" w14:textId="77777777"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34299B9C" w14:textId="40493FF9" w:rsidR="00863150" w:rsidRDefault="00563708">
            <w:pPr>
              <w:keepLines/>
              <w:spacing w:before="40" w:after="40" w:line="190" w:lineRule="exact"/>
              <w:jc w:val="center"/>
              <w:rPr>
                <w:b/>
                <w:bCs/>
                <w:sz w:val="16"/>
                <w:szCs w:val="16"/>
              </w:rPr>
            </w:pPr>
            <w:r>
              <w:rPr>
                <w:b/>
                <w:bCs/>
                <w:sz w:val="16"/>
                <w:szCs w:val="16"/>
              </w:rPr>
              <w:t>3.2</w:t>
            </w:r>
          </w:p>
        </w:tc>
        <w:tc>
          <w:tcPr>
            <w:tcW w:w="1022" w:type="dxa"/>
            <w:tcBorders>
              <w:top w:val="single" w:sz="6" w:space="0" w:color="auto"/>
              <w:left w:val="single" w:sz="6" w:space="0" w:color="auto"/>
              <w:bottom w:val="single" w:sz="6" w:space="0" w:color="auto"/>
              <w:right w:val="single" w:sz="6" w:space="0" w:color="auto"/>
            </w:tcBorders>
          </w:tcPr>
          <w:p w14:paraId="3B4387B7" w14:textId="12333F32" w:rsidR="00863150" w:rsidRDefault="00563708">
            <w:pPr>
              <w:keepLines/>
              <w:spacing w:before="40" w:after="40" w:line="190" w:lineRule="exact"/>
              <w:jc w:val="center"/>
              <w:rPr>
                <w:b/>
                <w:bCs/>
                <w:sz w:val="16"/>
                <w:szCs w:val="16"/>
              </w:rPr>
            </w:pPr>
            <w:r>
              <w:rPr>
                <w:b/>
                <w:bCs/>
                <w:sz w:val="16"/>
                <w:szCs w:val="16"/>
              </w:rPr>
              <w:t>11</w:t>
            </w:r>
          </w:p>
        </w:tc>
        <w:tc>
          <w:tcPr>
            <w:tcW w:w="992" w:type="dxa"/>
            <w:tcBorders>
              <w:top w:val="single" w:sz="6" w:space="0" w:color="auto"/>
              <w:left w:val="single" w:sz="6" w:space="0" w:color="auto"/>
              <w:bottom w:val="single" w:sz="6" w:space="0" w:color="auto"/>
              <w:right w:val="single" w:sz="6" w:space="0" w:color="auto"/>
            </w:tcBorders>
          </w:tcPr>
          <w:p w14:paraId="28BA3B5E" w14:textId="6F004D64" w:rsidR="00863150" w:rsidRDefault="00563708">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0B844E5B" w14:textId="1D8DD506" w:rsidR="00863150" w:rsidRPr="00563708" w:rsidRDefault="00563708" w:rsidP="00563708">
            <w:pPr>
              <w:keepLines/>
              <w:spacing w:before="40" w:after="40" w:line="190" w:lineRule="exact"/>
              <w:jc w:val="left"/>
              <w:rPr>
                <w:sz w:val="16"/>
                <w:szCs w:val="16"/>
              </w:rPr>
            </w:pPr>
            <w:r>
              <w:rPr>
                <w:sz w:val="16"/>
                <w:szCs w:val="16"/>
              </w:rPr>
              <w:t>Accessibility is not accurately modelled in the new values. This is where project level assessments can be more accurate. Although some biomass may be</w:t>
            </w:r>
            <w:r w:rsidR="0007356A">
              <w:rPr>
                <w:sz w:val="16"/>
                <w:szCs w:val="16"/>
              </w:rPr>
              <w:t xml:space="preserve"> considered by the model as</w:t>
            </w:r>
            <w:r>
              <w:rPr>
                <w:sz w:val="16"/>
                <w:szCs w:val="16"/>
              </w:rPr>
              <w:t xml:space="preserve"> ‘theoretically’ accessible, </w:t>
            </w:r>
            <w:proofErr w:type="gramStart"/>
            <w:r>
              <w:rPr>
                <w:sz w:val="16"/>
                <w:szCs w:val="16"/>
              </w:rPr>
              <w:t xml:space="preserve">in reality </w:t>
            </w:r>
            <w:r w:rsidR="0007356A">
              <w:rPr>
                <w:sz w:val="16"/>
                <w:szCs w:val="16"/>
              </w:rPr>
              <w:t>it</w:t>
            </w:r>
            <w:proofErr w:type="gramEnd"/>
            <w:r w:rsidR="0007356A">
              <w:rPr>
                <w:sz w:val="16"/>
                <w:szCs w:val="16"/>
              </w:rPr>
              <w:t xml:space="preserve"> is</w:t>
            </w:r>
            <w:r>
              <w:rPr>
                <w:sz w:val="16"/>
                <w:szCs w:val="16"/>
              </w:rPr>
              <w:t xml:space="preserve"> not. Remote, rural villages collect </w:t>
            </w:r>
            <w:proofErr w:type="spellStart"/>
            <w:r>
              <w:rPr>
                <w:sz w:val="16"/>
                <w:szCs w:val="16"/>
              </w:rPr>
              <w:t>woodfuel</w:t>
            </w:r>
            <w:proofErr w:type="spellEnd"/>
            <w:r>
              <w:rPr>
                <w:sz w:val="16"/>
                <w:szCs w:val="16"/>
              </w:rPr>
              <w:t xml:space="preserve"> according to accessibility (</w:t>
            </w:r>
            <w:proofErr w:type="gramStart"/>
            <w:r>
              <w:rPr>
                <w:sz w:val="16"/>
                <w:szCs w:val="16"/>
              </w:rPr>
              <w:t>i.e.</w:t>
            </w:r>
            <w:proofErr w:type="gramEnd"/>
            <w:r>
              <w:rPr>
                <w:sz w:val="16"/>
                <w:szCs w:val="16"/>
              </w:rPr>
              <w:t xml:space="preserve"> they gather the nearest first)</w:t>
            </w:r>
            <w:r w:rsidR="0007356A">
              <w:rPr>
                <w:sz w:val="16"/>
                <w:szCs w:val="16"/>
              </w:rPr>
              <w:t xml:space="preserve">, and in this context the proportion of what is collected that is renewable is extremely low. </w:t>
            </w:r>
            <w:r w:rsidR="00EA1EEF">
              <w:rPr>
                <w:sz w:val="16"/>
                <w:szCs w:val="16"/>
              </w:rPr>
              <w:t>People do not harvest wood in a managed way</w:t>
            </w:r>
            <w:r w:rsidR="004E0A1B">
              <w:rPr>
                <w:sz w:val="16"/>
                <w:szCs w:val="16"/>
              </w:rPr>
              <w:t xml:space="preserve">. It is harvested according to need and the need is closest to </w:t>
            </w:r>
            <w:r w:rsidR="002F7B53">
              <w:rPr>
                <w:sz w:val="16"/>
                <w:szCs w:val="16"/>
              </w:rPr>
              <w:t>area</w:t>
            </w:r>
            <w:r w:rsidR="00CD470B">
              <w:rPr>
                <w:sz w:val="16"/>
                <w:szCs w:val="16"/>
              </w:rPr>
              <w:t>s</w:t>
            </w:r>
            <w:r w:rsidR="002F7B53">
              <w:rPr>
                <w:sz w:val="16"/>
                <w:szCs w:val="16"/>
              </w:rPr>
              <w:t xml:space="preserve"> of human habitation</w:t>
            </w:r>
            <w:r w:rsidR="00A56381">
              <w:rPr>
                <w:sz w:val="16"/>
                <w:szCs w:val="16"/>
              </w:rPr>
              <w:t xml:space="preserve">, where pressure on </w:t>
            </w:r>
            <w:r w:rsidR="00A60B56">
              <w:rPr>
                <w:sz w:val="16"/>
                <w:szCs w:val="16"/>
              </w:rPr>
              <w:t xml:space="preserve">standing biomass is most intense. This is where most cookstove projects also take place. </w:t>
            </w:r>
            <w:r w:rsidR="0007356A">
              <w:rPr>
                <w:sz w:val="16"/>
                <w:szCs w:val="16"/>
              </w:rPr>
              <w:t xml:space="preserve">It is totally conceivable that 80-90% of locally harvested </w:t>
            </w:r>
            <w:r w:rsidR="004D2A7E">
              <w:rPr>
                <w:sz w:val="16"/>
                <w:szCs w:val="16"/>
              </w:rPr>
              <w:t>wood fuel</w:t>
            </w:r>
            <w:r w:rsidR="0007356A">
              <w:rPr>
                <w:sz w:val="16"/>
                <w:szCs w:val="16"/>
              </w:rPr>
              <w:t xml:space="preserve"> is non-renewable. Also, how can charcoal and wood fuel both have the same default </w:t>
            </w:r>
            <w:proofErr w:type="spellStart"/>
            <w:r w:rsidR="0007356A">
              <w:rPr>
                <w:sz w:val="16"/>
                <w:szCs w:val="16"/>
              </w:rPr>
              <w:t>fNRB</w:t>
            </w:r>
            <w:proofErr w:type="spellEnd"/>
            <w:r w:rsidR="0007356A">
              <w:rPr>
                <w:sz w:val="16"/>
                <w:szCs w:val="16"/>
              </w:rPr>
              <w:t xml:space="preserve"> value as the accessibility is entirely different; one fuel is purchased from a market and one fuel is collected locally.</w:t>
            </w:r>
          </w:p>
        </w:tc>
        <w:tc>
          <w:tcPr>
            <w:tcW w:w="4253" w:type="dxa"/>
            <w:tcBorders>
              <w:top w:val="single" w:sz="6" w:space="0" w:color="auto"/>
              <w:left w:val="single" w:sz="6" w:space="0" w:color="auto"/>
              <w:bottom w:val="single" w:sz="6" w:space="0" w:color="auto"/>
              <w:right w:val="single" w:sz="6" w:space="0" w:color="auto"/>
            </w:tcBorders>
          </w:tcPr>
          <w:p w14:paraId="38B2B390" w14:textId="77777777" w:rsidR="00863150" w:rsidRDefault="0007356A" w:rsidP="00563708">
            <w:pPr>
              <w:keepLines/>
              <w:spacing w:before="40" w:after="40" w:line="190" w:lineRule="exact"/>
              <w:jc w:val="left"/>
              <w:rPr>
                <w:sz w:val="16"/>
                <w:szCs w:val="16"/>
              </w:rPr>
            </w:pPr>
            <w:r>
              <w:rPr>
                <w:sz w:val="16"/>
                <w:szCs w:val="16"/>
              </w:rPr>
              <w:t xml:space="preserve">Allow for variable accessibility rates dependent on project-specific conditions. Adjust calculations for fuel </w:t>
            </w:r>
            <w:proofErr w:type="gramStart"/>
            <w:r>
              <w:rPr>
                <w:sz w:val="16"/>
                <w:szCs w:val="16"/>
              </w:rPr>
              <w:t>types;</w:t>
            </w:r>
            <w:proofErr w:type="gramEnd"/>
            <w:r>
              <w:rPr>
                <w:sz w:val="16"/>
                <w:szCs w:val="16"/>
              </w:rPr>
              <w:t xml:space="preserve"> e.g. charcoal vs. wood.</w:t>
            </w:r>
          </w:p>
          <w:p w14:paraId="1167B4CD" w14:textId="77777777" w:rsidR="00E41597" w:rsidRDefault="00E41597" w:rsidP="00E41597">
            <w:pPr>
              <w:keepLines/>
              <w:spacing w:before="40" w:after="40" w:line="190" w:lineRule="exact"/>
              <w:jc w:val="left"/>
              <w:rPr>
                <w:sz w:val="16"/>
                <w:szCs w:val="16"/>
              </w:rPr>
            </w:pPr>
            <w:r>
              <w:rPr>
                <w:sz w:val="16"/>
                <w:szCs w:val="16"/>
              </w:rPr>
              <w:t>Proposed text:</w:t>
            </w:r>
          </w:p>
          <w:p w14:paraId="6DBEBE4A" w14:textId="286532B6" w:rsidR="00E41597" w:rsidRPr="00332ECE" w:rsidRDefault="00332ECE" w:rsidP="00563708">
            <w:pPr>
              <w:keepLines/>
              <w:spacing w:before="40" w:after="40" w:line="190" w:lineRule="exact"/>
              <w:jc w:val="left"/>
              <w:rPr>
                <w:i/>
                <w:iCs/>
                <w:sz w:val="16"/>
                <w:szCs w:val="16"/>
              </w:rPr>
            </w:pPr>
            <w:r>
              <w:rPr>
                <w:i/>
                <w:iCs/>
                <w:sz w:val="16"/>
                <w:szCs w:val="16"/>
              </w:rPr>
              <w:t xml:space="preserve">d) </w:t>
            </w:r>
            <w:r w:rsidR="004253B9" w:rsidRPr="00332ECE">
              <w:rPr>
                <w:i/>
                <w:iCs/>
                <w:sz w:val="16"/>
                <w:szCs w:val="16"/>
              </w:rPr>
              <w:t xml:space="preserve">Neither approach adequately makes a localized assessment of where biomass for different fuel types is sourced. </w:t>
            </w:r>
            <w:r w:rsidR="000809E4" w:rsidRPr="00332ECE">
              <w:rPr>
                <w:i/>
                <w:iCs/>
                <w:sz w:val="16"/>
                <w:szCs w:val="16"/>
              </w:rPr>
              <w:t>Rural villages using wood fuel are more likely to source the nearest available fuel</w:t>
            </w:r>
            <w:r w:rsidR="00B82379" w:rsidRPr="00332ECE">
              <w:rPr>
                <w:i/>
                <w:iCs/>
                <w:sz w:val="16"/>
                <w:szCs w:val="16"/>
              </w:rPr>
              <w:t xml:space="preserve"> in an unmanaged </w:t>
            </w:r>
            <w:proofErr w:type="gramStart"/>
            <w:r w:rsidR="00B82379" w:rsidRPr="00332ECE">
              <w:rPr>
                <w:i/>
                <w:iCs/>
                <w:sz w:val="16"/>
                <w:szCs w:val="16"/>
              </w:rPr>
              <w:t>way</w:t>
            </w:r>
            <w:r w:rsidR="00C269EF" w:rsidRPr="00332ECE">
              <w:rPr>
                <w:i/>
                <w:iCs/>
                <w:sz w:val="16"/>
                <w:szCs w:val="16"/>
              </w:rPr>
              <w:t>;</w:t>
            </w:r>
            <w:proofErr w:type="gramEnd"/>
            <w:r w:rsidR="00C269EF" w:rsidRPr="00332ECE">
              <w:rPr>
                <w:i/>
                <w:iCs/>
                <w:sz w:val="16"/>
                <w:szCs w:val="16"/>
              </w:rPr>
              <w:t xml:space="preserve"> leading to high levels of </w:t>
            </w:r>
            <w:r w:rsidR="00182F63">
              <w:rPr>
                <w:i/>
                <w:iCs/>
                <w:sz w:val="16"/>
                <w:szCs w:val="16"/>
              </w:rPr>
              <w:t>loca</w:t>
            </w:r>
            <w:r w:rsidR="00D4410C">
              <w:rPr>
                <w:i/>
                <w:iCs/>
                <w:sz w:val="16"/>
                <w:szCs w:val="16"/>
              </w:rPr>
              <w:t xml:space="preserve">lized </w:t>
            </w:r>
            <w:proofErr w:type="spellStart"/>
            <w:r w:rsidR="005F04B1" w:rsidRPr="00332ECE">
              <w:rPr>
                <w:i/>
                <w:iCs/>
                <w:sz w:val="16"/>
                <w:szCs w:val="16"/>
              </w:rPr>
              <w:t>fNRB</w:t>
            </w:r>
            <w:proofErr w:type="spellEnd"/>
            <w:r w:rsidR="005F04B1" w:rsidRPr="00332ECE">
              <w:rPr>
                <w:i/>
                <w:iCs/>
                <w:sz w:val="16"/>
                <w:szCs w:val="16"/>
              </w:rPr>
              <w:t xml:space="preserve">. </w:t>
            </w:r>
            <w:proofErr w:type="gramStart"/>
            <w:r w:rsidR="005F04B1" w:rsidRPr="00332ECE">
              <w:rPr>
                <w:i/>
                <w:iCs/>
                <w:sz w:val="16"/>
                <w:szCs w:val="16"/>
              </w:rPr>
              <w:t>Whereas,</w:t>
            </w:r>
            <w:proofErr w:type="gramEnd"/>
            <w:r w:rsidR="005F04B1" w:rsidRPr="00332ECE">
              <w:rPr>
                <w:i/>
                <w:iCs/>
                <w:sz w:val="16"/>
                <w:szCs w:val="16"/>
              </w:rPr>
              <w:t xml:space="preserve"> biomass for charcoal may be sourced from an entirely different region and</w:t>
            </w:r>
            <w:r w:rsidRPr="00332ECE">
              <w:rPr>
                <w:i/>
                <w:iCs/>
                <w:sz w:val="16"/>
                <w:szCs w:val="16"/>
              </w:rPr>
              <w:t>, quite frequently in Africa, from across international borders.</w:t>
            </w:r>
            <w:r w:rsidR="00AD39D7">
              <w:rPr>
                <w:i/>
                <w:iCs/>
                <w:sz w:val="16"/>
                <w:szCs w:val="16"/>
              </w:rPr>
              <w:t xml:space="preserve"> It is very difficult to see how a ’unified’ </w:t>
            </w:r>
            <w:proofErr w:type="spellStart"/>
            <w:r w:rsidR="00AD39D7">
              <w:rPr>
                <w:i/>
                <w:iCs/>
                <w:sz w:val="16"/>
                <w:szCs w:val="16"/>
              </w:rPr>
              <w:t>fNRB</w:t>
            </w:r>
            <w:proofErr w:type="spellEnd"/>
            <w:r w:rsidR="00AD39D7">
              <w:rPr>
                <w:i/>
                <w:iCs/>
                <w:sz w:val="16"/>
                <w:szCs w:val="16"/>
              </w:rPr>
              <w:t xml:space="preserve"> is applicable for al fuel types in one </w:t>
            </w:r>
            <w:proofErr w:type="gramStart"/>
            <w:r w:rsidR="00AD39D7">
              <w:rPr>
                <w:i/>
                <w:iCs/>
                <w:sz w:val="16"/>
                <w:szCs w:val="16"/>
              </w:rPr>
              <w:t>particular region</w:t>
            </w:r>
            <w:proofErr w:type="gramEnd"/>
            <w:r w:rsidR="00AD39D7">
              <w:rPr>
                <w:i/>
                <w:iCs/>
                <w:sz w:val="16"/>
                <w:szCs w:val="16"/>
              </w:rPr>
              <w: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99716CA" w14:textId="77777777" w:rsidR="00863150" w:rsidRDefault="00863150">
            <w:pPr>
              <w:keepLines/>
              <w:spacing w:before="40" w:after="40" w:line="190" w:lineRule="exact"/>
              <w:jc w:val="center"/>
              <w:rPr>
                <w:b/>
                <w:bCs/>
                <w:sz w:val="16"/>
                <w:szCs w:val="16"/>
              </w:rPr>
            </w:pPr>
          </w:p>
        </w:tc>
      </w:tr>
      <w:tr w:rsidR="00863150" w14:paraId="20DC6649" w14:textId="77777777" w:rsidTr="6316D333">
        <w:trPr>
          <w:cantSplit/>
          <w:jc w:val="center"/>
        </w:trPr>
        <w:tc>
          <w:tcPr>
            <w:tcW w:w="360" w:type="dxa"/>
            <w:tcBorders>
              <w:top w:val="single" w:sz="6" w:space="0" w:color="auto"/>
              <w:left w:val="single" w:sz="6" w:space="0" w:color="auto"/>
              <w:bottom w:val="single" w:sz="6" w:space="0" w:color="auto"/>
              <w:right w:val="single" w:sz="6" w:space="0" w:color="auto"/>
            </w:tcBorders>
          </w:tcPr>
          <w:p w14:paraId="2045C234" w14:textId="77777777"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2F3815E4" w14:textId="13BBF5EF" w:rsidR="00863150" w:rsidRDefault="00027E41">
            <w:pPr>
              <w:keepLines/>
              <w:spacing w:before="40" w:after="40" w:line="190" w:lineRule="exact"/>
              <w:jc w:val="center"/>
              <w:rPr>
                <w:b/>
                <w:bCs/>
                <w:sz w:val="16"/>
                <w:szCs w:val="16"/>
              </w:rPr>
            </w:pPr>
            <w:r>
              <w:rPr>
                <w:b/>
                <w:bCs/>
                <w:sz w:val="16"/>
                <w:szCs w:val="16"/>
              </w:rPr>
              <w:t>3.2.1</w:t>
            </w:r>
          </w:p>
        </w:tc>
        <w:tc>
          <w:tcPr>
            <w:tcW w:w="1022" w:type="dxa"/>
            <w:tcBorders>
              <w:top w:val="single" w:sz="6" w:space="0" w:color="auto"/>
              <w:left w:val="single" w:sz="6" w:space="0" w:color="auto"/>
              <w:bottom w:val="single" w:sz="6" w:space="0" w:color="auto"/>
              <w:right w:val="single" w:sz="6" w:space="0" w:color="auto"/>
            </w:tcBorders>
          </w:tcPr>
          <w:p w14:paraId="15AC8CDE" w14:textId="3D56F514" w:rsidR="00863150" w:rsidRDefault="00564F6E">
            <w:pPr>
              <w:keepLines/>
              <w:spacing w:before="40" w:after="40" w:line="190" w:lineRule="exact"/>
              <w:jc w:val="center"/>
              <w:rPr>
                <w:b/>
                <w:bCs/>
                <w:sz w:val="16"/>
                <w:szCs w:val="16"/>
              </w:rPr>
            </w:pPr>
            <w:r>
              <w:rPr>
                <w:b/>
                <w:bCs/>
                <w:sz w:val="16"/>
                <w:szCs w:val="16"/>
              </w:rPr>
              <w:t>13,14,15</w:t>
            </w:r>
          </w:p>
        </w:tc>
        <w:tc>
          <w:tcPr>
            <w:tcW w:w="992" w:type="dxa"/>
            <w:tcBorders>
              <w:top w:val="single" w:sz="6" w:space="0" w:color="auto"/>
              <w:left w:val="single" w:sz="6" w:space="0" w:color="auto"/>
              <w:bottom w:val="single" w:sz="6" w:space="0" w:color="auto"/>
              <w:right w:val="single" w:sz="6" w:space="0" w:color="auto"/>
            </w:tcBorders>
          </w:tcPr>
          <w:p w14:paraId="17A4ED9A" w14:textId="6FC5DFC6" w:rsidR="00863150" w:rsidRDefault="00564F6E">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2D3BF554" w14:textId="77609848" w:rsidR="00863150" w:rsidRPr="00563708" w:rsidRDefault="00564F6E" w:rsidP="00563708">
            <w:pPr>
              <w:keepLines/>
              <w:spacing w:before="40" w:after="40" w:line="190" w:lineRule="exact"/>
              <w:jc w:val="left"/>
              <w:rPr>
                <w:sz w:val="16"/>
                <w:szCs w:val="16"/>
              </w:rPr>
            </w:pPr>
            <w:r>
              <w:rPr>
                <w:sz w:val="16"/>
                <w:szCs w:val="16"/>
              </w:rPr>
              <w:t xml:space="preserve">This section </w:t>
            </w:r>
            <w:r w:rsidR="00542618">
              <w:rPr>
                <w:sz w:val="16"/>
                <w:szCs w:val="16"/>
              </w:rPr>
              <w:t xml:space="preserve">gives no context for forest degradation. It </w:t>
            </w:r>
            <w:r>
              <w:rPr>
                <w:sz w:val="16"/>
                <w:szCs w:val="16"/>
              </w:rPr>
              <w:t>does nothing to differentiate the carbon storage potential of new growth trees and saplings vs. old growth trees</w:t>
            </w:r>
            <w:r w:rsidR="00852A3A">
              <w:rPr>
                <w:sz w:val="16"/>
                <w:szCs w:val="16"/>
              </w:rPr>
              <w:t xml:space="preserve">. </w:t>
            </w:r>
            <w:r w:rsidR="000042BE">
              <w:rPr>
                <w:sz w:val="16"/>
                <w:szCs w:val="16"/>
              </w:rPr>
              <w:t>Theoretically the model could allow for total denuding of old growth trees in</w:t>
            </w:r>
            <w:r w:rsidR="00453ED5">
              <w:rPr>
                <w:sz w:val="16"/>
                <w:szCs w:val="16"/>
              </w:rPr>
              <w:t xml:space="preserve"> an ecosystem</w:t>
            </w:r>
            <w:r w:rsidR="000042BE">
              <w:rPr>
                <w:sz w:val="16"/>
                <w:szCs w:val="16"/>
              </w:rPr>
              <w:t xml:space="preserve"> favo</w:t>
            </w:r>
            <w:r w:rsidR="00453ED5">
              <w:rPr>
                <w:sz w:val="16"/>
                <w:szCs w:val="16"/>
              </w:rPr>
              <w:t>u</w:t>
            </w:r>
            <w:r w:rsidR="000042BE">
              <w:rPr>
                <w:sz w:val="16"/>
                <w:szCs w:val="16"/>
              </w:rPr>
              <w:t xml:space="preserve">r of </w:t>
            </w:r>
            <w:r w:rsidR="00453ED5">
              <w:rPr>
                <w:sz w:val="16"/>
                <w:szCs w:val="16"/>
              </w:rPr>
              <w:t xml:space="preserve">replacement by young saplings or </w:t>
            </w:r>
            <w:r w:rsidR="00B32624">
              <w:rPr>
                <w:sz w:val="16"/>
                <w:szCs w:val="16"/>
              </w:rPr>
              <w:t>alien</w:t>
            </w:r>
            <w:r w:rsidR="0030028E">
              <w:rPr>
                <w:sz w:val="16"/>
                <w:szCs w:val="16"/>
              </w:rPr>
              <w:t xml:space="preserve"> invasive species</w:t>
            </w:r>
            <w:r w:rsidR="00F0466A">
              <w:rPr>
                <w:sz w:val="16"/>
                <w:szCs w:val="16"/>
              </w:rPr>
              <w:t xml:space="preserve">; and still retain the same </w:t>
            </w:r>
            <w:proofErr w:type="spellStart"/>
            <w:r w:rsidR="00F0466A">
              <w:rPr>
                <w:sz w:val="16"/>
                <w:szCs w:val="16"/>
              </w:rPr>
              <w:t>fNRB</w:t>
            </w:r>
            <w:proofErr w:type="spellEnd"/>
            <w:r w:rsidR="0030028E">
              <w:rPr>
                <w:sz w:val="16"/>
                <w:szCs w:val="16"/>
              </w:rPr>
              <w:t xml:space="preserve">. </w:t>
            </w:r>
            <w:r w:rsidR="007C47BF">
              <w:rPr>
                <w:sz w:val="16"/>
                <w:szCs w:val="16"/>
              </w:rPr>
              <w:t xml:space="preserve">What looks to be a forest from a satellite may </w:t>
            </w:r>
            <w:proofErr w:type="gramStart"/>
            <w:r w:rsidR="007C47BF">
              <w:rPr>
                <w:sz w:val="16"/>
                <w:szCs w:val="16"/>
              </w:rPr>
              <w:t>actually be</w:t>
            </w:r>
            <w:proofErr w:type="gramEnd"/>
            <w:r w:rsidR="007C47BF">
              <w:rPr>
                <w:sz w:val="16"/>
                <w:szCs w:val="16"/>
              </w:rPr>
              <w:t xml:space="preserve"> a heavily degraded landscape.</w:t>
            </w:r>
          </w:p>
        </w:tc>
        <w:tc>
          <w:tcPr>
            <w:tcW w:w="4253" w:type="dxa"/>
            <w:tcBorders>
              <w:top w:val="single" w:sz="6" w:space="0" w:color="auto"/>
              <w:left w:val="single" w:sz="6" w:space="0" w:color="auto"/>
              <w:bottom w:val="single" w:sz="6" w:space="0" w:color="auto"/>
              <w:right w:val="single" w:sz="6" w:space="0" w:color="auto"/>
            </w:tcBorders>
          </w:tcPr>
          <w:p w14:paraId="113181F9" w14:textId="77777777" w:rsidR="00863150" w:rsidRDefault="00143AF4" w:rsidP="00563708">
            <w:pPr>
              <w:keepLines/>
              <w:spacing w:before="40" w:after="40" w:line="190" w:lineRule="exact"/>
              <w:jc w:val="left"/>
              <w:rPr>
                <w:sz w:val="16"/>
                <w:szCs w:val="16"/>
              </w:rPr>
            </w:pPr>
            <w:proofErr w:type="gramStart"/>
            <w:r>
              <w:rPr>
                <w:sz w:val="16"/>
                <w:szCs w:val="16"/>
              </w:rPr>
              <w:t>Locally-sourced</w:t>
            </w:r>
            <w:proofErr w:type="gramEnd"/>
            <w:r>
              <w:rPr>
                <w:sz w:val="16"/>
                <w:szCs w:val="16"/>
              </w:rPr>
              <w:t xml:space="preserve"> data </w:t>
            </w:r>
            <w:r w:rsidR="00DE5C27">
              <w:rPr>
                <w:sz w:val="16"/>
                <w:szCs w:val="16"/>
              </w:rPr>
              <w:t xml:space="preserve">on a project-basis can inform the </w:t>
            </w:r>
            <w:r w:rsidR="007C47BF">
              <w:rPr>
                <w:sz w:val="16"/>
                <w:szCs w:val="16"/>
              </w:rPr>
              <w:t xml:space="preserve">degradation of forests </w:t>
            </w:r>
            <w:r w:rsidR="00A63ECD">
              <w:rPr>
                <w:sz w:val="16"/>
                <w:szCs w:val="16"/>
              </w:rPr>
              <w:t>caused by</w:t>
            </w:r>
            <w:r w:rsidR="007C47BF">
              <w:rPr>
                <w:sz w:val="16"/>
                <w:szCs w:val="16"/>
              </w:rPr>
              <w:t xml:space="preserve"> wood harvesting. </w:t>
            </w:r>
            <w:r w:rsidR="00A63ECD">
              <w:rPr>
                <w:sz w:val="16"/>
                <w:szCs w:val="16"/>
              </w:rPr>
              <w:t xml:space="preserve">This would change the profile of the </w:t>
            </w:r>
            <w:proofErr w:type="spellStart"/>
            <w:r w:rsidR="00A63ECD">
              <w:rPr>
                <w:sz w:val="16"/>
                <w:szCs w:val="16"/>
              </w:rPr>
              <w:t>fNRB</w:t>
            </w:r>
            <w:proofErr w:type="spellEnd"/>
            <w:r w:rsidR="00925A07">
              <w:rPr>
                <w:sz w:val="16"/>
                <w:szCs w:val="16"/>
              </w:rPr>
              <w:t xml:space="preserve"> used by households. </w:t>
            </w:r>
          </w:p>
          <w:p w14:paraId="51D2D5AF" w14:textId="77777777" w:rsidR="00696EC1" w:rsidRDefault="00696EC1" w:rsidP="00696EC1">
            <w:pPr>
              <w:keepLines/>
              <w:spacing w:before="40" w:after="40" w:line="190" w:lineRule="exact"/>
              <w:jc w:val="left"/>
              <w:rPr>
                <w:sz w:val="16"/>
                <w:szCs w:val="16"/>
              </w:rPr>
            </w:pPr>
            <w:r>
              <w:rPr>
                <w:sz w:val="16"/>
                <w:szCs w:val="16"/>
              </w:rPr>
              <w:t>Proposed text:</w:t>
            </w:r>
          </w:p>
          <w:p w14:paraId="703F5CD2" w14:textId="6549670F" w:rsidR="00696EC1" w:rsidRPr="006E341E" w:rsidRDefault="00B74AFD" w:rsidP="00563708">
            <w:pPr>
              <w:keepLines/>
              <w:spacing w:before="40" w:after="40" w:line="190" w:lineRule="exact"/>
              <w:jc w:val="left"/>
              <w:rPr>
                <w:i/>
                <w:iCs/>
                <w:sz w:val="16"/>
                <w:szCs w:val="16"/>
              </w:rPr>
            </w:pPr>
            <w:r w:rsidRPr="006E341E">
              <w:rPr>
                <w:i/>
                <w:iCs/>
                <w:sz w:val="16"/>
                <w:szCs w:val="16"/>
              </w:rPr>
              <w:t xml:space="preserve">The model neglects to </w:t>
            </w:r>
            <w:r w:rsidR="009C73B9">
              <w:rPr>
                <w:i/>
                <w:iCs/>
                <w:sz w:val="16"/>
                <w:szCs w:val="16"/>
              </w:rPr>
              <w:t xml:space="preserve">accurately </w:t>
            </w:r>
            <w:r w:rsidRPr="006E341E">
              <w:rPr>
                <w:i/>
                <w:iCs/>
                <w:sz w:val="16"/>
                <w:szCs w:val="16"/>
              </w:rPr>
              <w:t xml:space="preserve">account </w:t>
            </w:r>
            <w:r w:rsidR="006E341E">
              <w:rPr>
                <w:i/>
                <w:iCs/>
                <w:sz w:val="16"/>
                <w:szCs w:val="16"/>
              </w:rPr>
              <w:t xml:space="preserve">for </w:t>
            </w:r>
            <w:r w:rsidRPr="006E341E">
              <w:rPr>
                <w:i/>
                <w:iCs/>
                <w:sz w:val="16"/>
                <w:szCs w:val="16"/>
              </w:rPr>
              <w:t>forest degradation</w:t>
            </w:r>
            <w:r w:rsidR="00A531EF" w:rsidRPr="006E341E">
              <w:rPr>
                <w:i/>
                <w:iCs/>
                <w:sz w:val="16"/>
                <w:szCs w:val="16"/>
              </w:rPr>
              <w:t xml:space="preserve">. </w:t>
            </w:r>
            <w:r w:rsidR="00D33687" w:rsidRPr="006E341E">
              <w:rPr>
                <w:i/>
                <w:iCs/>
                <w:sz w:val="16"/>
                <w:szCs w:val="16"/>
              </w:rPr>
              <w:t xml:space="preserve">Satellite images may show ground cover and </w:t>
            </w:r>
            <w:r w:rsidR="006E341E" w:rsidRPr="006E341E">
              <w:rPr>
                <w:i/>
                <w:iCs/>
                <w:sz w:val="16"/>
                <w:szCs w:val="16"/>
              </w:rPr>
              <w:t>attribute</w:t>
            </w:r>
            <w:r w:rsidR="00D33687" w:rsidRPr="006E341E">
              <w:rPr>
                <w:i/>
                <w:iCs/>
                <w:sz w:val="16"/>
                <w:szCs w:val="16"/>
              </w:rPr>
              <w:t xml:space="preserve"> the same </w:t>
            </w:r>
            <w:r w:rsidR="001555BB">
              <w:rPr>
                <w:i/>
                <w:iCs/>
                <w:sz w:val="16"/>
                <w:szCs w:val="16"/>
              </w:rPr>
              <w:t xml:space="preserve">carbon sequestration </w:t>
            </w:r>
            <w:r w:rsidR="00D33687" w:rsidRPr="006E341E">
              <w:rPr>
                <w:i/>
                <w:iCs/>
                <w:sz w:val="16"/>
                <w:szCs w:val="16"/>
              </w:rPr>
              <w:t xml:space="preserve">value to this as in old growth </w:t>
            </w:r>
            <w:proofErr w:type="gramStart"/>
            <w:r w:rsidR="00D33687" w:rsidRPr="006E341E">
              <w:rPr>
                <w:i/>
                <w:iCs/>
                <w:sz w:val="16"/>
                <w:szCs w:val="16"/>
              </w:rPr>
              <w:t>forests</w:t>
            </w:r>
            <w:r w:rsidR="006E341E" w:rsidRPr="006E341E">
              <w:rPr>
                <w:i/>
                <w:iCs/>
                <w:sz w:val="16"/>
                <w:szCs w:val="16"/>
              </w:rPr>
              <w:t>;</w:t>
            </w:r>
            <w:proofErr w:type="gramEnd"/>
            <w:r w:rsidR="006E341E" w:rsidRPr="006E341E">
              <w:rPr>
                <w:i/>
                <w:iCs/>
                <w:sz w:val="16"/>
                <w:szCs w:val="16"/>
              </w:rPr>
              <w:t xml:space="preserve"> </w:t>
            </w:r>
            <w:r w:rsidR="00614D11">
              <w:rPr>
                <w:i/>
                <w:iCs/>
                <w:sz w:val="16"/>
                <w:szCs w:val="16"/>
              </w:rPr>
              <w:t xml:space="preserve">where </w:t>
            </w:r>
            <w:r w:rsidR="006E341E" w:rsidRPr="006E341E">
              <w:rPr>
                <w:i/>
                <w:iCs/>
                <w:sz w:val="16"/>
                <w:szCs w:val="16"/>
              </w:rPr>
              <w:t>this is clearly not the case.</w:t>
            </w:r>
            <w:r w:rsidR="00844D46">
              <w:rPr>
                <w:i/>
                <w:iCs/>
                <w:sz w:val="16"/>
                <w:szCs w:val="16"/>
              </w:rPr>
              <w:t xml:space="preserve"> </w:t>
            </w:r>
            <w:r w:rsidR="00B809E1">
              <w:rPr>
                <w:i/>
                <w:iCs/>
                <w:sz w:val="16"/>
                <w:szCs w:val="16"/>
              </w:rPr>
              <w:t>E</w:t>
            </w:r>
            <w:r w:rsidR="00844D46">
              <w:rPr>
                <w:i/>
                <w:iCs/>
                <w:sz w:val="16"/>
                <w:szCs w:val="16"/>
              </w:rPr>
              <w:t>xtensive localized harvesting is taking place</w:t>
            </w:r>
            <w:r w:rsidR="00B809E1">
              <w:rPr>
                <w:i/>
                <w:iCs/>
                <w:sz w:val="16"/>
                <w:szCs w:val="16"/>
              </w:rPr>
              <w:t xml:space="preserve"> </w:t>
            </w:r>
            <w:r w:rsidR="004E268F">
              <w:rPr>
                <w:i/>
                <w:iCs/>
                <w:sz w:val="16"/>
                <w:szCs w:val="16"/>
              </w:rPr>
              <w:t xml:space="preserve">can have a significant impact on </w:t>
            </w:r>
            <w:proofErr w:type="spellStart"/>
            <w:r w:rsidR="004E268F">
              <w:rPr>
                <w:i/>
                <w:iCs/>
                <w:sz w:val="16"/>
                <w:szCs w:val="16"/>
              </w:rPr>
              <w:t>fNRB</w:t>
            </w:r>
            <w:proofErr w:type="spellEnd"/>
            <w:r w:rsidR="004E268F">
              <w:rPr>
                <w:i/>
                <w:iCs/>
                <w:sz w:val="16"/>
                <w:szCs w:val="16"/>
              </w:rPr>
              <w:t xml:space="preserve"> which is not accounted for in the model; whereby increasing the uncertainty of the calculations.</w:t>
            </w:r>
            <w:r w:rsidR="00524CF7">
              <w:rPr>
                <w:i/>
                <w:iCs/>
                <w:sz w:val="16"/>
                <w:szCs w:val="16"/>
              </w:rPr>
              <w:t xml:space="preserve"> Localized, project-base data can improve accuracy.</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9D8E52A" w14:textId="77777777" w:rsidR="00863150" w:rsidRDefault="00863150">
            <w:pPr>
              <w:keepLines/>
              <w:spacing w:before="40" w:after="40" w:line="190" w:lineRule="exact"/>
              <w:jc w:val="center"/>
              <w:rPr>
                <w:b/>
                <w:bCs/>
                <w:sz w:val="16"/>
                <w:szCs w:val="16"/>
              </w:rPr>
            </w:pPr>
          </w:p>
        </w:tc>
      </w:tr>
      <w:tr w:rsidR="00863150" w14:paraId="0554E67B" w14:textId="77777777" w:rsidTr="6316D333">
        <w:trPr>
          <w:cantSplit/>
          <w:jc w:val="center"/>
        </w:trPr>
        <w:tc>
          <w:tcPr>
            <w:tcW w:w="360" w:type="dxa"/>
            <w:tcBorders>
              <w:top w:val="single" w:sz="6" w:space="0" w:color="auto"/>
              <w:left w:val="single" w:sz="6" w:space="0" w:color="auto"/>
              <w:bottom w:val="single" w:sz="6" w:space="0" w:color="auto"/>
              <w:right w:val="single" w:sz="6" w:space="0" w:color="auto"/>
            </w:tcBorders>
          </w:tcPr>
          <w:p w14:paraId="424CB2D2" w14:textId="77777777"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1374F3E4" w14:textId="3034EBD9" w:rsidR="00863150" w:rsidRDefault="008E7B99">
            <w:pPr>
              <w:keepLines/>
              <w:spacing w:before="40" w:after="40" w:line="190" w:lineRule="exact"/>
              <w:jc w:val="center"/>
              <w:rPr>
                <w:b/>
                <w:bCs/>
                <w:sz w:val="16"/>
                <w:szCs w:val="16"/>
              </w:rPr>
            </w:pPr>
            <w:r>
              <w:rPr>
                <w:b/>
                <w:bCs/>
                <w:sz w:val="16"/>
                <w:szCs w:val="16"/>
              </w:rPr>
              <w:t>3.2.2</w:t>
            </w:r>
          </w:p>
        </w:tc>
        <w:tc>
          <w:tcPr>
            <w:tcW w:w="1022" w:type="dxa"/>
            <w:tcBorders>
              <w:top w:val="single" w:sz="6" w:space="0" w:color="auto"/>
              <w:left w:val="single" w:sz="6" w:space="0" w:color="auto"/>
              <w:bottom w:val="single" w:sz="6" w:space="0" w:color="auto"/>
              <w:right w:val="single" w:sz="6" w:space="0" w:color="auto"/>
            </w:tcBorders>
          </w:tcPr>
          <w:p w14:paraId="08BD1DE4" w14:textId="73F7FFCE" w:rsidR="00863150" w:rsidRDefault="008E7B99">
            <w:pPr>
              <w:keepLines/>
              <w:spacing w:before="40" w:after="40" w:line="190" w:lineRule="exact"/>
              <w:jc w:val="center"/>
              <w:rPr>
                <w:b/>
                <w:bCs/>
                <w:sz w:val="16"/>
                <w:szCs w:val="16"/>
              </w:rPr>
            </w:pPr>
            <w:r>
              <w:rPr>
                <w:b/>
                <w:bCs/>
                <w:sz w:val="16"/>
                <w:szCs w:val="16"/>
              </w:rPr>
              <w:t>16</w:t>
            </w:r>
          </w:p>
        </w:tc>
        <w:tc>
          <w:tcPr>
            <w:tcW w:w="992" w:type="dxa"/>
            <w:tcBorders>
              <w:top w:val="single" w:sz="6" w:space="0" w:color="auto"/>
              <w:left w:val="single" w:sz="6" w:space="0" w:color="auto"/>
              <w:bottom w:val="single" w:sz="6" w:space="0" w:color="auto"/>
              <w:right w:val="single" w:sz="6" w:space="0" w:color="auto"/>
            </w:tcBorders>
          </w:tcPr>
          <w:p w14:paraId="5A305FCF" w14:textId="5FE7EFD9" w:rsidR="00863150" w:rsidRDefault="008E7B99">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0CD879F2" w14:textId="6B932952" w:rsidR="00863150" w:rsidRPr="00563708" w:rsidRDefault="00751B81" w:rsidP="00563708">
            <w:pPr>
              <w:keepLines/>
              <w:spacing w:before="40" w:after="40" w:line="190" w:lineRule="exact"/>
              <w:jc w:val="left"/>
              <w:rPr>
                <w:sz w:val="16"/>
                <w:szCs w:val="16"/>
              </w:rPr>
            </w:pPr>
            <w:r>
              <w:rPr>
                <w:sz w:val="16"/>
                <w:szCs w:val="16"/>
              </w:rPr>
              <w:t xml:space="preserve">This is a very crude assessment of fuel use at the household level. Project developers conduct far more rigorous assessments of fuel use </w:t>
            </w:r>
            <w:r w:rsidR="00320AE3">
              <w:rPr>
                <w:sz w:val="16"/>
                <w:szCs w:val="16"/>
              </w:rPr>
              <w:t>at the household level in their baseline assessments</w:t>
            </w:r>
            <w:r w:rsidR="00DE3D37">
              <w:rPr>
                <w:sz w:val="16"/>
                <w:szCs w:val="16"/>
              </w:rPr>
              <w:t xml:space="preserve">. </w:t>
            </w:r>
          </w:p>
        </w:tc>
        <w:tc>
          <w:tcPr>
            <w:tcW w:w="4253" w:type="dxa"/>
            <w:tcBorders>
              <w:top w:val="single" w:sz="6" w:space="0" w:color="auto"/>
              <w:left w:val="single" w:sz="6" w:space="0" w:color="auto"/>
              <w:bottom w:val="single" w:sz="6" w:space="0" w:color="auto"/>
              <w:right w:val="single" w:sz="6" w:space="0" w:color="auto"/>
            </w:tcBorders>
          </w:tcPr>
          <w:p w14:paraId="292C9C3B" w14:textId="77777777" w:rsidR="00863150" w:rsidRDefault="00DC4E8C" w:rsidP="00563708">
            <w:pPr>
              <w:keepLines/>
              <w:spacing w:before="40" w:after="40" w:line="190" w:lineRule="exact"/>
              <w:jc w:val="left"/>
              <w:rPr>
                <w:sz w:val="16"/>
                <w:szCs w:val="16"/>
              </w:rPr>
            </w:pPr>
            <w:r>
              <w:rPr>
                <w:sz w:val="16"/>
                <w:szCs w:val="16"/>
              </w:rPr>
              <w:t xml:space="preserve">Allow for </w:t>
            </w:r>
            <w:r w:rsidR="00980BDA">
              <w:rPr>
                <w:sz w:val="16"/>
                <w:szCs w:val="16"/>
              </w:rPr>
              <w:t xml:space="preserve">more accurate, localized </w:t>
            </w:r>
            <w:r>
              <w:rPr>
                <w:sz w:val="16"/>
                <w:szCs w:val="16"/>
              </w:rPr>
              <w:t>project</w:t>
            </w:r>
            <w:r w:rsidR="00980BDA">
              <w:rPr>
                <w:sz w:val="16"/>
                <w:szCs w:val="16"/>
              </w:rPr>
              <w:t>-</w:t>
            </w:r>
            <w:r>
              <w:rPr>
                <w:sz w:val="16"/>
                <w:szCs w:val="16"/>
              </w:rPr>
              <w:t xml:space="preserve">level assessments of </w:t>
            </w:r>
            <w:r w:rsidR="00980BDA">
              <w:rPr>
                <w:sz w:val="16"/>
                <w:szCs w:val="16"/>
              </w:rPr>
              <w:t xml:space="preserve">biomass </w:t>
            </w:r>
            <w:r>
              <w:rPr>
                <w:sz w:val="16"/>
                <w:szCs w:val="16"/>
              </w:rPr>
              <w:t>fuel use</w:t>
            </w:r>
            <w:r w:rsidR="00980BDA">
              <w:rPr>
                <w:sz w:val="16"/>
                <w:szCs w:val="16"/>
              </w:rPr>
              <w:t>.</w:t>
            </w:r>
          </w:p>
          <w:p w14:paraId="2F723B08" w14:textId="77777777" w:rsidR="000E75BF" w:rsidRDefault="000E75BF" w:rsidP="000E75BF">
            <w:pPr>
              <w:keepLines/>
              <w:spacing w:before="40" w:after="40" w:line="190" w:lineRule="exact"/>
              <w:jc w:val="left"/>
              <w:rPr>
                <w:sz w:val="16"/>
                <w:szCs w:val="16"/>
              </w:rPr>
            </w:pPr>
            <w:r>
              <w:rPr>
                <w:sz w:val="16"/>
                <w:szCs w:val="16"/>
              </w:rPr>
              <w:t>Proposed text:</w:t>
            </w:r>
          </w:p>
          <w:p w14:paraId="67CAE20C" w14:textId="7E513435" w:rsidR="000E75BF" w:rsidRPr="00E0404C" w:rsidRDefault="004A77A9" w:rsidP="00563708">
            <w:pPr>
              <w:keepLines/>
              <w:spacing w:before="40" w:after="40" w:line="190" w:lineRule="exact"/>
              <w:jc w:val="left"/>
              <w:rPr>
                <w:i/>
                <w:iCs/>
                <w:sz w:val="16"/>
                <w:szCs w:val="16"/>
              </w:rPr>
            </w:pPr>
            <w:r w:rsidRPr="00E0404C">
              <w:rPr>
                <w:i/>
                <w:iCs/>
                <w:sz w:val="16"/>
                <w:szCs w:val="16"/>
              </w:rPr>
              <w:t xml:space="preserve">Project developers should be allowed to employ </w:t>
            </w:r>
            <w:r w:rsidR="006A0C4A" w:rsidRPr="00E0404C">
              <w:rPr>
                <w:i/>
                <w:iCs/>
                <w:sz w:val="16"/>
                <w:szCs w:val="16"/>
              </w:rPr>
              <w:t>project</w:t>
            </w:r>
            <w:r w:rsidR="0075600C" w:rsidRPr="00E0404C">
              <w:rPr>
                <w:i/>
                <w:iCs/>
                <w:sz w:val="16"/>
                <w:szCs w:val="16"/>
              </w:rPr>
              <w:t xml:space="preserve"> data to inform he </w:t>
            </w:r>
            <w:proofErr w:type="spellStart"/>
            <w:r w:rsidR="0075600C" w:rsidRPr="00E0404C">
              <w:rPr>
                <w:i/>
                <w:iCs/>
                <w:sz w:val="16"/>
                <w:szCs w:val="16"/>
              </w:rPr>
              <w:t>fNRB</w:t>
            </w:r>
            <w:proofErr w:type="spellEnd"/>
            <w:r w:rsidR="0075600C" w:rsidRPr="00E0404C">
              <w:rPr>
                <w:i/>
                <w:iCs/>
                <w:sz w:val="16"/>
                <w:szCs w:val="16"/>
              </w:rPr>
              <w:t xml:space="preserve"> calculations for their project area. Baseline assessments of fuel use can </w:t>
            </w:r>
            <w:r w:rsidR="00E0404C" w:rsidRPr="00E0404C">
              <w:rPr>
                <w:i/>
                <w:iCs/>
                <w:sz w:val="16"/>
                <w:szCs w:val="16"/>
              </w:rPr>
              <w:t>be utilized in the calculations to improve accuracy.</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D4EDBD8" w14:textId="77777777" w:rsidR="00863150" w:rsidRDefault="00863150">
            <w:pPr>
              <w:keepLines/>
              <w:spacing w:before="40" w:after="40" w:line="190" w:lineRule="exact"/>
              <w:jc w:val="center"/>
              <w:rPr>
                <w:b/>
                <w:bCs/>
                <w:sz w:val="16"/>
                <w:szCs w:val="16"/>
              </w:rPr>
            </w:pPr>
          </w:p>
        </w:tc>
      </w:tr>
      <w:tr w:rsidR="00863150" w14:paraId="0E02DDEE" w14:textId="77777777" w:rsidTr="6316D333">
        <w:trPr>
          <w:cantSplit/>
          <w:jc w:val="center"/>
        </w:trPr>
        <w:tc>
          <w:tcPr>
            <w:tcW w:w="360" w:type="dxa"/>
            <w:tcBorders>
              <w:top w:val="single" w:sz="6" w:space="0" w:color="auto"/>
              <w:left w:val="single" w:sz="6" w:space="0" w:color="auto"/>
              <w:bottom w:val="single" w:sz="6" w:space="0" w:color="auto"/>
              <w:right w:val="single" w:sz="6" w:space="0" w:color="auto"/>
            </w:tcBorders>
          </w:tcPr>
          <w:p w14:paraId="251ABDA6" w14:textId="77777777"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0DEA4F4B" w14:textId="2C642895" w:rsidR="00863150" w:rsidRDefault="009B2146">
            <w:pPr>
              <w:keepLines/>
              <w:spacing w:before="40" w:after="40" w:line="190" w:lineRule="exact"/>
              <w:jc w:val="center"/>
              <w:rPr>
                <w:b/>
                <w:bCs/>
                <w:sz w:val="16"/>
                <w:szCs w:val="16"/>
              </w:rPr>
            </w:pPr>
            <w:r>
              <w:rPr>
                <w:b/>
                <w:bCs/>
                <w:sz w:val="16"/>
                <w:szCs w:val="16"/>
              </w:rPr>
              <w:t>3.2.3</w:t>
            </w:r>
          </w:p>
        </w:tc>
        <w:tc>
          <w:tcPr>
            <w:tcW w:w="1022" w:type="dxa"/>
            <w:tcBorders>
              <w:top w:val="single" w:sz="6" w:space="0" w:color="auto"/>
              <w:left w:val="single" w:sz="6" w:space="0" w:color="auto"/>
              <w:bottom w:val="single" w:sz="6" w:space="0" w:color="auto"/>
              <w:right w:val="single" w:sz="6" w:space="0" w:color="auto"/>
            </w:tcBorders>
          </w:tcPr>
          <w:p w14:paraId="70F09662" w14:textId="53EC9B9A" w:rsidR="00863150" w:rsidRDefault="009B2146">
            <w:pPr>
              <w:keepLines/>
              <w:spacing w:before="40" w:after="40" w:line="190" w:lineRule="exact"/>
              <w:jc w:val="center"/>
              <w:rPr>
                <w:b/>
                <w:bCs/>
                <w:sz w:val="16"/>
                <w:szCs w:val="16"/>
              </w:rPr>
            </w:pPr>
            <w:r>
              <w:rPr>
                <w:b/>
                <w:bCs/>
                <w:sz w:val="16"/>
                <w:szCs w:val="16"/>
              </w:rPr>
              <w:t>21</w:t>
            </w:r>
          </w:p>
        </w:tc>
        <w:tc>
          <w:tcPr>
            <w:tcW w:w="992" w:type="dxa"/>
            <w:tcBorders>
              <w:top w:val="single" w:sz="6" w:space="0" w:color="auto"/>
              <w:left w:val="single" w:sz="6" w:space="0" w:color="auto"/>
              <w:bottom w:val="single" w:sz="6" w:space="0" w:color="auto"/>
              <w:right w:val="single" w:sz="6" w:space="0" w:color="auto"/>
            </w:tcBorders>
          </w:tcPr>
          <w:p w14:paraId="58C618E6" w14:textId="04BA5B46" w:rsidR="00863150" w:rsidRDefault="009B2146">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42B60D97" w14:textId="23D31D61" w:rsidR="00863150" w:rsidRPr="00563708" w:rsidRDefault="009B2146" w:rsidP="00563708">
            <w:pPr>
              <w:keepLines/>
              <w:spacing w:before="40" w:after="40" w:line="190" w:lineRule="exact"/>
              <w:jc w:val="left"/>
              <w:rPr>
                <w:sz w:val="16"/>
                <w:szCs w:val="16"/>
              </w:rPr>
            </w:pPr>
            <w:r>
              <w:rPr>
                <w:sz w:val="16"/>
                <w:szCs w:val="16"/>
              </w:rPr>
              <w:t xml:space="preserve">Previous modelling by the same authors, suggested that the </w:t>
            </w:r>
            <w:proofErr w:type="spellStart"/>
            <w:r>
              <w:rPr>
                <w:sz w:val="16"/>
                <w:szCs w:val="16"/>
              </w:rPr>
              <w:t>fNRB</w:t>
            </w:r>
            <w:proofErr w:type="spellEnd"/>
            <w:r>
              <w:rPr>
                <w:sz w:val="16"/>
                <w:szCs w:val="16"/>
              </w:rPr>
              <w:t xml:space="preserve"> for the Caprivi Strip in Namibia has an </w:t>
            </w:r>
            <w:proofErr w:type="spellStart"/>
            <w:r>
              <w:rPr>
                <w:sz w:val="16"/>
                <w:szCs w:val="16"/>
              </w:rPr>
              <w:t>fNRB</w:t>
            </w:r>
            <w:proofErr w:type="spellEnd"/>
            <w:r>
              <w:rPr>
                <w:sz w:val="16"/>
                <w:szCs w:val="16"/>
              </w:rPr>
              <w:t xml:space="preserve"> of </w:t>
            </w:r>
            <w:r w:rsidR="00D23D7C" w:rsidRPr="00D23D7C">
              <w:rPr>
                <w:sz w:val="16"/>
                <w:szCs w:val="16"/>
              </w:rPr>
              <w:t>83.1%</w:t>
            </w:r>
            <w:r w:rsidR="00D23D7C">
              <w:rPr>
                <w:sz w:val="16"/>
                <w:szCs w:val="16"/>
              </w:rPr>
              <w:t>.</w:t>
            </w:r>
            <w:r w:rsidR="00166D04">
              <w:rPr>
                <w:sz w:val="16"/>
                <w:szCs w:val="16"/>
              </w:rPr>
              <w:t xml:space="preserve"> The only </w:t>
            </w:r>
            <w:r w:rsidR="000F3630">
              <w:rPr>
                <w:sz w:val="16"/>
                <w:szCs w:val="16"/>
              </w:rPr>
              <w:t xml:space="preserve">factor </w:t>
            </w:r>
            <w:r w:rsidR="002F08ED">
              <w:rPr>
                <w:sz w:val="16"/>
                <w:szCs w:val="16"/>
              </w:rPr>
              <w:t xml:space="preserve">that </w:t>
            </w:r>
            <w:r w:rsidR="008B0280">
              <w:rPr>
                <w:sz w:val="16"/>
                <w:szCs w:val="16"/>
              </w:rPr>
              <w:t xml:space="preserve">distinguishes this area from neighbouring </w:t>
            </w:r>
            <w:r w:rsidR="00CD00E1">
              <w:rPr>
                <w:sz w:val="16"/>
                <w:szCs w:val="16"/>
              </w:rPr>
              <w:t xml:space="preserve">regions in </w:t>
            </w:r>
            <w:r w:rsidR="008322A8" w:rsidRPr="00B42A51">
              <w:rPr>
                <w:sz w:val="16"/>
                <w:szCs w:val="16"/>
              </w:rPr>
              <w:t xml:space="preserve">Zambia (Western) 33% </w:t>
            </w:r>
            <w:r w:rsidR="00CD00E1">
              <w:rPr>
                <w:sz w:val="16"/>
                <w:szCs w:val="16"/>
              </w:rPr>
              <w:t>and Botswana</w:t>
            </w:r>
            <w:r w:rsidR="003054DE">
              <w:rPr>
                <w:sz w:val="16"/>
                <w:szCs w:val="16"/>
              </w:rPr>
              <w:t xml:space="preserve"> </w:t>
            </w:r>
            <w:r w:rsidR="00B42A51" w:rsidRPr="00B42A51">
              <w:rPr>
                <w:sz w:val="16"/>
                <w:szCs w:val="16"/>
              </w:rPr>
              <w:t>(Chobe) 45.3% and Botswana (</w:t>
            </w:r>
            <w:proofErr w:type="spellStart"/>
            <w:r w:rsidR="00B42A51" w:rsidRPr="00B42A51">
              <w:rPr>
                <w:sz w:val="16"/>
                <w:szCs w:val="16"/>
              </w:rPr>
              <w:t>Ngamiland</w:t>
            </w:r>
            <w:proofErr w:type="spellEnd"/>
            <w:r w:rsidR="00B42A51" w:rsidRPr="00B42A51">
              <w:rPr>
                <w:sz w:val="16"/>
                <w:szCs w:val="16"/>
              </w:rPr>
              <w:t>) 47% </w:t>
            </w:r>
            <w:r w:rsidR="003054DE">
              <w:rPr>
                <w:sz w:val="16"/>
                <w:szCs w:val="16"/>
              </w:rPr>
              <w:t xml:space="preserve">is the fact that it is enclosed by national boundaries. </w:t>
            </w:r>
            <w:r w:rsidR="00BB1AFE">
              <w:rPr>
                <w:sz w:val="16"/>
                <w:szCs w:val="16"/>
              </w:rPr>
              <w:t>So</w:t>
            </w:r>
            <w:r w:rsidR="007817AA">
              <w:rPr>
                <w:sz w:val="16"/>
                <w:szCs w:val="16"/>
              </w:rPr>
              <w:t>,</w:t>
            </w:r>
            <w:r w:rsidR="00495191">
              <w:rPr>
                <w:sz w:val="16"/>
                <w:szCs w:val="16"/>
              </w:rPr>
              <w:t xml:space="preserve"> the authors’ own studie</w:t>
            </w:r>
            <w:r w:rsidR="002746C1">
              <w:rPr>
                <w:sz w:val="16"/>
                <w:szCs w:val="16"/>
              </w:rPr>
              <w:t>s</w:t>
            </w:r>
            <w:r w:rsidR="00BB1AFE">
              <w:rPr>
                <w:sz w:val="16"/>
                <w:szCs w:val="16"/>
              </w:rPr>
              <w:t xml:space="preserve"> acknowledge that</w:t>
            </w:r>
            <w:r w:rsidR="009D219B">
              <w:rPr>
                <w:sz w:val="16"/>
                <w:szCs w:val="16"/>
              </w:rPr>
              <w:t>,</w:t>
            </w:r>
            <w:r w:rsidR="00BB1AFE">
              <w:rPr>
                <w:sz w:val="16"/>
                <w:szCs w:val="16"/>
              </w:rPr>
              <w:t xml:space="preserve"> where wood fuel collection is localized</w:t>
            </w:r>
            <w:r w:rsidR="00A31864">
              <w:rPr>
                <w:sz w:val="16"/>
                <w:szCs w:val="16"/>
              </w:rPr>
              <w:t xml:space="preserve"> (here limited supposedly only by national borders)</w:t>
            </w:r>
            <w:r w:rsidR="00495191">
              <w:rPr>
                <w:sz w:val="16"/>
                <w:szCs w:val="16"/>
              </w:rPr>
              <w:t>,</w:t>
            </w:r>
            <w:r w:rsidR="00A347E2">
              <w:rPr>
                <w:sz w:val="16"/>
                <w:szCs w:val="16"/>
              </w:rPr>
              <w:t xml:space="preserve"> high levels of </w:t>
            </w:r>
            <w:proofErr w:type="spellStart"/>
            <w:r w:rsidR="00A347E2">
              <w:rPr>
                <w:sz w:val="16"/>
                <w:szCs w:val="16"/>
              </w:rPr>
              <w:t>fNRB</w:t>
            </w:r>
            <w:proofErr w:type="spellEnd"/>
            <w:r w:rsidR="00A347E2">
              <w:rPr>
                <w:sz w:val="16"/>
                <w:szCs w:val="16"/>
              </w:rPr>
              <w:t xml:space="preserve"> are possible</w:t>
            </w:r>
            <w:r w:rsidR="00380F37">
              <w:rPr>
                <w:sz w:val="16"/>
                <w:szCs w:val="16"/>
              </w:rPr>
              <w:t xml:space="preserve"> in line with many </w:t>
            </w:r>
            <w:proofErr w:type="gramStart"/>
            <w:r w:rsidR="00380F37">
              <w:rPr>
                <w:sz w:val="16"/>
                <w:szCs w:val="16"/>
              </w:rPr>
              <w:t>Tool</w:t>
            </w:r>
            <w:proofErr w:type="gramEnd"/>
            <w:r w:rsidR="00380F37">
              <w:rPr>
                <w:sz w:val="16"/>
                <w:szCs w:val="16"/>
              </w:rPr>
              <w:t xml:space="preserve"> 30 assessments</w:t>
            </w:r>
            <w:r w:rsidR="00A347E2">
              <w:rPr>
                <w:sz w:val="16"/>
                <w:szCs w:val="16"/>
              </w:rPr>
              <w:t xml:space="preserve">. </w:t>
            </w:r>
            <w:r w:rsidR="009D219B">
              <w:rPr>
                <w:sz w:val="16"/>
                <w:szCs w:val="16"/>
              </w:rPr>
              <w:t>As project developers operating in these regions</w:t>
            </w:r>
            <w:r w:rsidR="00380F37">
              <w:rPr>
                <w:sz w:val="16"/>
                <w:szCs w:val="16"/>
              </w:rPr>
              <w:t>,</w:t>
            </w:r>
            <w:r w:rsidR="009D219B">
              <w:rPr>
                <w:sz w:val="16"/>
                <w:szCs w:val="16"/>
              </w:rPr>
              <w:t xml:space="preserve"> we do not see the wood collection behaviour of villages in the Caprivi Strip to be any different to neighbouring villages in Zambia or Botswana. The national boundary is </w:t>
            </w:r>
            <w:r w:rsidR="008E3BBD">
              <w:rPr>
                <w:sz w:val="16"/>
                <w:szCs w:val="16"/>
              </w:rPr>
              <w:t>artificial</w:t>
            </w:r>
            <w:r w:rsidR="009D219B">
              <w:rPr>
                <w:sz w:val="16"/>
                <w:szCs w:val="16"/>
              </w:rPr>
              <w:t xml:space="preserve"> in this context</w:t>
            </w:r>
            <w:r w:rsidR="00D02539">
              <w:rPr>
                <w:sz w:val="16"/>
                <w:szCs w:val="16"/>
              </w:rPr>
              <w:t>, as</w:t>
            </w:r>
            <w:r w:rsidR="008E3BBD">
              <w:rPr>
                <w:sz w:val="16"/>
                <w:szCs w:val="16"/>
              </w:rPr>
              <w:t xml:space="preserve"> households</w:t>
            </w:r>
            <w:r w:rsidR="00D02539">
              <w:rPr>
                <w:sz w:val="16"/>
                <w:szCs w:val="16"/>
              </w:rPr>
              <w:t xml:space="preserve"> </w:t>
            </w:r>
            <w:r w:rsidR="008E3BBD">
              <w:rPr>
                <w:sz w:val="16"/>
                <w:szCs w:val="16"/>
              </w:rPr>
              <w:t>fuel collection habits mean that they simply collect wood fuel from the nearest available location. So, villages in Zambia do not travel excessive distances to collect wood fuel, they simply obtain the closest available fuel</w:t>
            </w:r>
            <w:r w:rsidR="00E50CA8">
              <w:rPr>
                <w:sz w:val="16"/>
                <w:szCs w:val="16"/>
              </w:rPr>
              <w:t xml:space="preserve">. This practice is inherently unsustainable and leads to very high </w:t>
            </w:r>
            <w:r w:rsidR="00B30F68">
              <w:rPr>
                <w:sz w:val="16"/>
                <w:szCs w:val="16"/>
              </w:rPr>
              <w:t xml:space="preserve">localized </w:t>
            </w:r>
            <w:r w:rsidR="00E50CA8">
              <w:rPr>
                <w:sz w:val="16"/>
                <w:szCs w:val="16"/>
              </w:rPr>
              <w:t xml:space="preserve">levels of </w:t>
            </w:r>
            <w:proofErr w:type="spellStart"/>
            <w:r w:rsidR="00E50CA8">
              <w:rPr>
                <w:sz w:val="16"/>
                <w:szCs w:val="16"/>
              </w:rPr>
              <w:t>fNRB</w:t>
            </w:r>
            <w:proofErr w:type="spellEnd"/>
            <w:r w:rsidR="00E50CA8">
              <w:rPr>
                <w:sz w:val="16"/>
                <w:szCs w:val="16"/>
              </w:rPr>
              <w:t xml:space="preserve"> in collected fuel on both sides of the border.</w:t>
            </w:r>
          </w:p>
        </w:tc>
        <w:tc>
          <w:tcPr>
            <w:tcW w:w="4253" w:type="dxa"/>
            <w:tcBorders>
              <w:top w:val="single" w:sz="6" w:space="0" w:color="auto"/>
              <w:left w:val="single" w:sz="6" w:space="0" w:color="auto"/>
              <w:bottom w:val="single" w:sz="6" w:space="0" w:color="auto"/>
              <w:right w:val="single" w:sz="6" w:space="0" w:color="auto"/>
            </w:tcBorders>
          </w:tcPr>
          <w:p w14:paraId="22EF5005" w14:textId="77777777" w:rsidR="00863150" w:rsidRDefault="0041680A" w:rsidP="00563708">
            <w:pPr>
              <w:keepLines/>
              <w:spacing w:before="40" w:after="40" w:line="190" w:lineRule="exact"/>
              <w:jc w:val="left"/>
              <w:rPr>
                <w:sz w:val="16"/>
                <w:szCs w:val="16"/>
              </w:rPr>
            </w:pPr>
            <w:r>
              <w:rPr>
                <w:sz w:val="16"/>
                <w:szCs w:val="16"/>
              </w:rPr>
              <w:t>Allow for more accurate, localized project-level assessments of biomass fuel harvesting.</w:t>
            </w:r>
          </w:p>
          <w:p w14:paraId="610E93BA" w14:textId="77777777" w:rsidR="000B0192" w:rsidRDefault="000B0192" w:rsidP="000B0192">
            <w:pPr>
              <w:keepLines/>
              <w:spacing w:before="40" w:after="40" w:line="190" w:lineRule="exact"/>
              <w:jc w:val="left"/>
              <w:rPr>
                <w:sz w:val="16"/>
                <w:szCs w:val="16"/>
              </w:rPr>
            </w:pPr>
            <w:r>
              <w:rPr>
                <w:sz w:val="16"/>
                <w:szCs w:val="16"/>
              </w:rPr>
              <w:t>Proposed text:</w:t>
            </w:r>
          </w:p>
          <w:p w14:paraId="41EE6E0E" w14:textId="77777777" w:rsidR="00C618EA" w:rsidRPr="00245E24" w:rsidRDefault="00066980" w:rsidP="00563708">
            <w:pPr>
              <w:keepLines/>
              <w:spacing w:before="40" w:after="40" w:line="190" w:lineRule="exact"/>
              <w:jc w:val="left"/>
              <w:rPr>
                <w:i/>
                <w:iCs/>
                <w:sz w:val="16"/>
                <w:szCs w:val="16"/>
                <w:u w:val="single"/>
              </w:rPr>
            </w:pPr>
            <w:r w:rsidRPr="00245E24">
              <w:rPr>
                <w:i/>
                <w:iCs/>
                <w:sz w:val="16"/>
                <w:szCs w:val="16"/>
                <w:u w:val="single"/>
              </w:rPr>
              <w:t xml:space="preserve">Localized </w:t>
            </w:r>
            <w:r w:rsidR="00262680" w:rsidRPr="00245E24">
              <w:rPr>
                <w:i/>
                <w:iCs/>
                <w:sz w:val="16"/>
                <w:szCs w:val="16"/>
                <w:u w:val="single"/>
              </w:rPr>
              <w:t>Biomass Harvesting</w:t>
            </w:r>
          </w:p>
          <w:p w14:paraId="5D34321F" w14:textId="7FA87B00" w:rsidR="00262680" w:rsidRPr="00262680" w:rsidRDefault="00245E24" w:rsidP="00563708">
            <w:pPr>
              <w:keepLines/>
              <w:spacing w:before="40" w:after="40" w:line="190" w:lineRule="exact"/>
              <w:jc w:val="left"/>
              <w:rPr>
                <w:i/>
                <w:iCs/>
                <w:sz w:val="16"/>
                <w:szCs w:val="16"/>
                <w:u w:val="single"/>
              </w:rPr>
            </w:pPr>
            <w:r w:rsidRPr="00245E24">
              <w:rPr>
                <w:i/>
                <w:iCs/>
                <w:sz w:val="16"/>
                <w:szCs w:val="16"/>
              </w:rPr>
              <w:t xml:space="preserve">The model does not account </w:t>
            </w:r>
            <w:r>
              <w:rPr>
                <w:i/>
                <w:iCs/>
                <w:sz w:val="16"/>
                <w:szCs w:val="16"/>
              </w:rPr>
              <w:t>for</w:t>
            </w:r>
            <w:r w:rsidRPr="00245E24">
              <w:rPr>
                <w:i/>
                <w:iCs/>
                <w:sz w:val="16"/>
                <w:szCs w:val="16"/>
              </w:rPr>
              <w:t xml:space="preserve"> localized </w:t>
            </w:r>
            <w:r w:rsidR="00EB342F">
              <w:rPr>
                <w:i/>
                <w:iCs/>
                <w:sz w:val="16"/>
                <w:szCs w:val="16"/>
              </w:rPr>
              <w:t xml:space="preserve">collection and </w:t>
            </w:r>
            <w:r w:rsidRPr="00245E24">
              <w:rPr>
                <w:i/>
                <w:iCs/>
                <w:sz w:val="16"/>
                <w:szCs w:val="16"/>
              </w:rPr>
              <w:t>use of biomass which can be inherently unsustainable.</w:t>
            </w:r>
            <w:r w:rsidR="00264BF3">
              <w:rPr>
                <w:i/>
                <w:iCs/>
                <w:sz w:val="16"/>
                <w:szCs w:val="16"/>
              </w:rPr>
              <w:t xml:space="preserve"> Project developers can </w:t>
            </w:r>
            <w:r w:rsidR="00EB342F">
              <w:rPr>
                <w:i/>
                <w:iCs/>
                <w:sz w:val="16"/>
                <w:szCs w:val="16"/>
              </w:rPr>
              <w:t xml:space="preserve">assess during the baseline stage the accessibility of biomass and how biomass is harvested to improve accuracy of the </w:t>
            </w:r>
            <w:proofErr w:type="spellStart"/>
            <w:r w:rsidR="00EB342F">
              <w:rPr>
                <w:i/>
                <w:iCs/>
                <w:sz w:val="16"/>
                <w:szCs w:val="16"/>
              </w:rPr>
              <w:t>fNRB</w:t>
            </w:r>
            <w:proofErr w:type="spellEnd"/>
            <w:r w:rsidR="00EB342F">
              <w:rPr>
                <w:i/>
                <w:iCs/>
                <w:sz w:val="16"/>
                <w:szCs w:val="16"/>
              </w:rPr>
              <w:t xml:space="preserve"> </w:t>
            </w:r>
            <w:r w:rsidR="00BC4F7F">
              <w:rPr>
                <w:i/>
                <w:iCs/>
                <w:sz w:val="16"/>
                <w:szCs w:val="16"/>
              </w:rPr>
              <w:t>in</w:t>
            </w:r>
            <w:r w:rsidR="00EB342F">
              <w:rPr>
                <w:i/>
                <w:iCs/>
                <w:sz w:val="16"/>
                <w:szCs w:val="16"/>
              </w:rPr>
              <w:t xml:space="preserve"> harvested biomass. This can be based on assessments of how far households must travel to collect wood fuel, for example. </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673A80D" w14:textId="77777777" w:rsidR="00863150" w:rsidRDefault="00863150">
            <w:pPr>
              <w:keepLines/>
              <w:spacing w:before="40" w:after="40" w:line="190" w:lineRule="exact"/>
              <w:jc w:val="center"/>
              <w:rPr>
                <w:b/>
                <w:bCs/>
                <w:sz w:val="16"/>
                <w:szCs w:val="16"/>
              </w:rPr>
            </w:pPr>
          </w:p>
        </w:tc>
      </w:tr>
      <w:tr w:rsidR="00863150" w14:paraId="5C9827B7" w14:textId="77777777" w:rsidTr="6316D333">
        <w:trPr>
          <w:cantSplit/>
          <w:jc w:val="center"/>
        </w:trPr>
        <w:tc>
          <w:tcPr>
            <w:tcW w:w="360" w:type="dxa"/>
            <w:tcBorders>
              <w:top w:val="single" w:sz="6" w:space="0" w:color="auto"/>
              <w:left w:val="single" w:sz="6" w:space="0" w:color="auto"/>
              <w:bottom w:val="single" w:sz="6" w:space="0" w:color="auto"/>
              <w:right w:val="single" w:sz="6" w:space="0" w:color="auto"/>
            </w:tcBorders>
          </w:tcPr>
          <w:p w14:paraId="1F08B9D2" w14:textId="77777777"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2CCD7645" w14:textId="3915F5DB" w:rsidR="00863150" w:rsidRDefault="009066B4">
            <w:pPr>
              <w:keepLines/>
              <w:spacing w:before="40" w:after="40" w:line="190" w:lineRule="exact"/>
              <w:jc w:val="center"/>
              <w:rPr>
                <w:b/>
                <w:bCs/>
                <w:sz w:val="16"/>
                <w:szCs w:val="16"/>
              </w:rPr>
            </w:pPr>
            <w:r>
              <w:rPr>
                <w:b/>
                <w:bCs/>
                <w:sz w:val="16"/>
                <w:szCs w:val="16"/>
              </w:rPr>
              <w:t>3.3</w:t>
            </w:r>
          </w:p>
        </w:tc>
        <w:tc>
          <w:tcPr>
            <w:tcW w:w="1022" w:type="dxa"/>
            <w:tcBorders>
              <w:top w:val="single" w:sz="6" w:space="0" w:color="auto"/>
              <w:left w:val="single" w:sz="6" w:space="0" w:color="auto"/>
              <w:bottom w:val="single" w:sz="6" w:space="0" w:color="auto"/>
              <w:right w:val="single" w:sz="6" w:space="0" w:color="auto"/>
            </w:tcBorders>
          </w:tcPr>
          <w:p w14:paraId="613F0BC2" w14:textId="16C604A0" w:rsidR="00863150" w:rsidRDefault="009066B4">
            <w:pPr>
              <w:keepLines/>
              <w:spacing w:before="40" w:after="40" w:line="190" w:lineRule="exact"/>
              <w:jc w:val="center"/>
              <w:rPr>
                <w:b/>
                <w:bCs/>
                <w:sz w:val="16"/>
                <w:szCs w:val="16"/>
              </w:rPr>
            </w:pPr>
            <w:r>
              <w:rPr>
                <w:b/>
                <w:bCs/>
                <w:sz w:val="16"/>
                <w:szCs w:val="16"/>
              </w:rPr>
              <w:t>28</w:t>
            </w:r>
          </w:p>
        </w:tc>
        <w:tc>
          <w:tcPr>
            <w:tcW w:w="992" w:type="dxa"/>
            <w:tcBorders>
              <w:top w:val="single" w:sz="6" w:space="0" w:color="auto"/>
              <w:left w:val="single" w:sz="6" w:space="0" w:color="auto"/>
              <w:bottom w:val="single" w:sz="6" w:space="0" w:color="auto"/>
              <w:right w:val="single" w:sz="6" w:space="0" w:color="auto"/>
            </w:tcBorders>
          </w:tcPr>
          <w:p w14:paraId="4AB2F162" w14:textId="774725FA" w:rsidR="00863150" w:rsidRDefault="009066B4">
            <w:pPr>
              <w:keepLines/>
              <w:spacing w:before="40" w:after="40" w:line="190" w:lineRule="exact"/>
              <w:jc w:val="center"/>
              <w:rPr>
                <w:b/>
                <w:bCs/>
                <w:sz w:val="16"/>
                <w:szCs w:val="16"/>
              </w:rPr>
            </w:pPr>
            <w:r>
              <w:rPr>
                <w:b/>
                <w:bCs/>
                <w:sz w:val="16"/>
                <w:szCs w:val="16"/>
              </w:rPr>
              <w:t>Ge</w:t>
            </w:r>
          </w:p>
        </w:tc>
        <w:tc>
          <w:tcPr>
            <w:tcW w:w="4762" w:type="dxa"/>
            <w:tcBorders>
              <w:top w:val="single" w:sz="6" w:space="0" w:color="auto"/>
              <w:left w:val="single" w:sz="6" w:space="0" w:color="auto"/>
              <w:bottom w:val="single" w:sz="6" w:space="0" w:color="auto"/>
              <w:right w:val="single" w:sz="6" w:space="0" w:color="auto"/>
            </w:tcBorders>
          </w:tcPr>
          <w:p w14:paraId="4DE3299F" w14:textId="2A9216F2" w:rsidR="00863150" w:rsidRPr="00563708" w:rsidRDefault="00634157" w:rsidP="00563708">
            <w:pPr>
              <w:keepLines/>
              <w:spacing w:before="40" w:after="40" w:line="190" w:lineRule="exact"/>
              <w:jc w:val="left"/>
              <w:rPr>
                <w:sz w:val="16"/>
                <w:szCs w:val="16"/>
              </w:rPr>
            </w:pPr>
            <w:r>
              <w:rPr>
                <w:sz w:val="16"/>
                <w:szCs w:val="16"/>
              </w:rPr>
              <w:t>Understanding t</w:t>
            </w:r>
            <w:r w:rsidR="004625F9">
              <w:rPr>
                <w:sz w:val="16"/>
                <w:szCs w:val="16"/>
              </w:rPr>
              <w:t xml:space="preserve">he high </w:t>
            </w:r>
            <w:r w:rsidR="00A405D5">
              <w:rPr>
                <w:sz w:val="16"/>
                <w:szCs w:val="16"/>
              </w:rPr>
              <w:t>variability</w:t>
            </w:r>
            <w:r w:rsidR="004625F9">
              <w:rPr>
                <w:sz w:val="16"/>
                <w:szCs w:val="16"/>
              </w:rPr>
              <w:t xml:space="preserve"> of </w:t>
            </w:r>
            <w:proofErr w:type="spellStart"/>
            <w:r w:rsidR="004625F9">
              <w:rPr>
                <w:sz w:val="16"/>
                <w:szCs w:val="16"/>
              </w:rPr>
              <w:t>fNRB</w:t>
            </w:r>
            <w:proofErr w:type="spellEnd"/>
            <w:r w:rsidR="004625F9">
              <w:rPr>
                <w:sz w:val="16"/>
                <w:szCs w:val="16"/>
              </w:rPr>
              <w:t xml:space="preserve"> is cr</w:t>
            </w:r>
            <w:r>
              <w:rPr>
                <w:sz w:val="16"/>
                <w:szCs w:val="16"/>
              </w:rPr>
              <w:t>ucial</w:t>
            </w:r>
            <w:r w:rsidR="004625F9">
              <w:rPr>
                <w:sz w:val="16"/>
                <w:szCs w:val="16"/>
              </w:rPr>
              <w:t xml:space="preserve"> in its assessment. The authors rightly state that </w:t>
            </w:r>
            <w:r w:rsidR="0085072A">
              <w:rPr>
                <w:sz w:val="16"/>
                <w:szCs w:val="16"/>
              </w:rPr>
              <w:t>“</w:t>
            </w:r>
            <w:r w:rsidR="0085072A" w:rsidRPr="00A405D5">
              <w:rPr>
                <w:sz w:val="16"/>
                <w:szCs w:val="16"/>
              </w:rPr>
              <w:t xml:space="preserve">countries have sub-national units with large </w:t>
            </w:r>
            <w:r w:rsidR="00A405D5" w:rsidRPr="00A405D5">
              <w:rPr>
                <w:sz w:val="16"/>
                <w:szCs w:val="16"/>
              </w:rPr>
              <w:t xml:space="preserve">differences in population density and accessibility. So, we see high NRB </w:t>
            </w:r>
            <w:r w:rsidR="007B4894">
              <w:rPr>
                <w:sz w:val="16"/>
                <w:szCs w:val="16"/>
              </w:rPr>
              <w:t xml:space="preserve">(in) </w:t>
            </w:r>
            <w:proofErr w:type="gramStart"/>
            <w:r w:rsidR="00A405D5" w:rsidRPr="00A405D5">
              <w:rPr>
                <w:sz w:val="16"/>
                <w:szCs w:val="16"/>
              </w:rPr>
              <w:t>close proximity</w:t>
            </w:r>
            <w:proofErr w:type="gramEnd"/>
            <w:r w:rsidR="00A405D5" w:rsidRPr="00A405D5">
              <w:rPr>
                <w:sz w:val="16"/>
                <w:szCs w:val="16"/>
              </w:rPr>
              <w:t xml:space="preserve"> to populated regions and low NRB in the unpopulated regions.”</w:t>
            </w:r>
            <w:r w:rsidR="003E6031">
              <w:rPr>
                <w:sz w:val="16"/>
                <w:szCs w:val="16"/>
              </w:rPr>
              <w:t xml:space="preserve"> </w:t>
            </w:r>
            <w:r w:rsidR="002F2925">
              <w:rPr>
                <w:sz w:val="16"/>
                <w:szCs w:val="16"/>
              </w:rPr>
              <w:t xml:space="preserve">This </w:t>
            </w:r>
            <w:r w:rsidR="001800D5">
              <w:rPr>
                <w:sz w:val="16"/>
                <w:szCs w:val="16"/>
              </w:rPr>
              <w:t xml:space="preserve">potential for </w:t>
            </w:r>
            <w:r w:rsidR="002F2925">
              <w:rPr>
                <w:sz w:val="16"/>
                <w:szCs w:val="16"/>
              </w:rPr>
              <w:t>high</w:t>
            </w:r>
            <w:r w:rsidR="004F358D">
              <w:rPr>
                <w:sz w:val="16"/>
                <w:szCs w:val="16"/>
              </w:rPr>
              <w:t>-</w:t>
            </w:r>
            <w:r w:rsidR="002F2925">
              <w:rPr>
                <w:sz w:val="16"/>
                <w:szCs w:val="16"/>
              </w:rPr>
              <w:t>level</w:t>
            </w:r>
            <w:r w:rsidR="001800D5">
              <w:rPr>
                <w:sz w:val="16"/>
                <w:szCs w:val="16"/>
              </w:rPr>
              <w:t>s</w:t>
            </w:r>
            <w:r w:rsidR="002F2925">
              <w:rPr>
                <w:sz w:val="16"/>
                <w:szCs w:val="16"/>
              </w:rPr>
              <w:t xml:space="preserve"> of </w:t>
            </w:r>
            <w:proofErr w:type="spellStart"/>
            <w:r w:rsidR="002F2925">
              <w:rPr>
                <w:sz w:val="16"/>
                <w:szCs w:val="16"/>
              </w:rPr>
              <w:t>fNRB</w:t>
            </w:r>
            <w:proofErr w:type="spellEnd"/>
            <w:r w:rsidR="002F2925">
              <w:rPr>
                <w:sz w:val="16"/>
                <w:szCs w:val="16"/>
              </w:rPr>
              <w:t xml:space="preserve"> close to populated </w:t>
            </w:r>
            <w:r w:rsidR="00634BD6">
              <w:rPr>
                <w:sz w:val="16"/>
                <w:szCs w:val="16"/>
              </w:rPr>
              <w:t xml:space="preserve">human habitation is not accurately </w:t>
            </w:r>
            <w:r w:rsidR="004F358D">
              <w:rPr>
                <w:sz w:val="16"/>
                <w:szCs w:val="16"/>
              </w:rPr>
              <w:t>captured in the modelling</w:t>
            </w:r>
            <w:r w:rsidR="001800D5">
              <w:rPr>
                <w:sz w:val="16"/>
                <w:szCs w:val="16"/>
              </w:rPr>
              <w:t xml:space="preserve"> and can only be achieved via localized, project-level assessments.</w:t>
            </w:r>
          </w:p>
        </w:tc>
        <w:tc>
          <w:tcPr>
            <w:tcW w:w="4253" w:type="dxa"/>
            <w:tcBorders>
              <w:top w:val="single" w:sz="6" w:space="0" w:color="auto"/>
              <w:left w:val="single" w:sz="6" w:space="0" w:color="auto"/>
              <w:bottom w:val="single" w:sz="6" w:space="0" w:color="auto"/>
              <w:right w:val="single" w:sz="6" w:space="0" w:color="auto"/>
            </w:tcBorders>
          </w:tcPr>
          <w:p w14:paraId="637BB3AA" w14:textId="77777777" w:rsidR="00863150" w:rsidRDefault="001800D5" w:rsidP="00563708">
            <w:pPr>
              <w:keepLines/>
              <w:spacing w:before="40" w:after="40" w:line="190" w:lineRule="exact"/>
              <w:jc w:val="left"/>
              <w:rPr>
                <w:sz w:val="16"/>
                <w:szCs w:val="16"/>
              </w:rPr>
            </w:pPr>
            <w:r>
              <w:rPr>
                <w:sz w:val="16"/>
                <w:szCs w:val="16"/>
              </w:rPr>
              <w:t>Allow for more accurate, localized project-level assessments of biomass fuel use and harvesting.</w:t>
            </w:r>
          </w:p>
          <w:p w14:paraId="1BA860BE" w14:textId="77777777" w:rsidR="00601E99" w:rsidRDefault="00601E99" w:rsidP="00601E99">
            <w:pPr>
              <w:keepLines/>
              <w:spacing w:before="40" w:after="40" w:line="190" w:lineRule="exact"/>
              <w:jc w:val="left"/>
              <w:rPr>
                <w:sz w:val="16"/>
                <w:szCs w:val="16"/>
              </w:rPr>
            </w:pPr>
            <w:r>
              <w:rPr>
                <w:sz w:val="16"/>
                <w:szCs w:val="16"/>
              </w:rPr>
              <w:t>Proposed text:</w:t>
            </w:r>
          </w:p>
          <w:p w14:paraId="1EC09D9E" w14:textId="087F40BF" w:rsidR="00601E99" w:rsidRPr="00601E99" w:rsidRDefault="00601E99" w:rsidP="00563708">
            <w:pPr>
              <w:keepLines/>
              <w:spacing w:before="40" w:after="40" w:line="190" w:lineRule="exact"/>
              <w:jc w:val="left"/>
              <w:rPr>
                <w:i/>
                <w:iCs/>
                <w:sz w:val="16"/>
                <w:szCs w:val="16"/>
              </w:rPr>
            </w:pPr>
            <w:r>
              <w:rPr>
                <w:i/>
                <w:iCs/>
                <w:sz w:val="16"/>
                <w:szCs w:val="16"/>
              </w:rPr>
              <w:t xml:space="preserve">It should be recognized that </w:t>
            </w:r>
            <w:r w:rsidR="006A53B2">
              <w:rPr>
                <w:i/>
                <w:iCs/>
                <w:sz w:val="16"/>
                <w:szCs w:val="16"/>
              </w:rPr>
              <w:t xml:space="preserve">the inherent variability of </w:t>
            </w:r>
            <w:proofErr w:type="spellStart"/>
            <w:r w:rsidR="006A53B2">
              <w:rPr>
                <w:i/>
                <w:iCs/>
                <w:sz w:val="16"/>
                <w:szCs w:val="16"/>
              </w:rPr>
              <w:t>fNRB</w:t>
            </w:r>
            <w:proofErr w:type="spellEnd"/>
            <w:r w:rsidR="006A53B2">
              <w:rPr>
                <w:i/>
                <w:iCs/>
                <w:sz w:val="16"/>
                <w:szCs w:val="16"/>
              </w:rPr>
              <w:t xml:space="preserve"> </w:t>
            </w:r>
            <w:r w:rsidR="00477883">
              <w:rPr>
                <w:i/>
                <w:iCs/>
                <w:sz w:val="16"/>
                <w:szCs w:val="16"/>
              </w:rPr>
              <w:t>is not represented by the model</w:t>
            </w:r>
            <w:r w:rsidR="0041385B">
              <w:rPr>
                <w:i/>
                <w:iCs/>
                <w:sz w:val="16"/>
                <w:szCs w:val="16"/>
              </w:rPr>
              <w:t>, and that project-level studies can increase the accuracy of the calculation. Therefore, there sho</w:t>
            </w:r>
            <w:r w:rsidR="003A7E76">
              <w:rPr>
                <w:i/>
                <w:iCs/>
                <w:sz w:val="16"/>
                <w:szCs w:val="16"/>
              </w:rPr>
              <w:t>u</w:t>
            </w:r>
            <w:r w:rsidR="0041385B">
              <w:rPr>
                <w:i/>
                <w:iCs/>
                <w:sz w:val="16"/>
                <w:szCs w:val="16"/>
              </w:rPr>
              <w:t>l</w:t>
            </w:r>
            <w:r w:rsidR="00AE0E25">
              <w:rPr>
                <w:i/>
                <w:iCs/>
                <w:sz w:val="16"/>
                <w:szCs w:val="16"/>
              </w:rPr>
              <w:t>d</w:t>
            </w:r>
            <w:r w:rsidR="0041385B">
              <w:rPr>
                <w:i/>
                <w:iCs/>
                <w:sz w:val="16"/>
                <w:szCs w:val="16"/>
              </w:rPr>
              <w:t xml:space="preserve"> be flexibility in the </w:t>
            </w:r>
            <w:r w:rsidR="0009633D">
              <w:rPr>
                <w:i/>
                <w:iCs/>
                <w:sz w:val="16"/>
                <w:szCs w:val="16"/>
              </w:rPr>
              <w:t xml:space="preserve">way that </w:t>
            </w:r>
            <w:r w:rsidR="001735E1">
              <w:rPr>
                <w:i/>
                <w:iCs/>
                <w:sz w:val="16"/>
                <w:szCs w:val="16"/>
              </w:rPr>
              <w:t xml:space="preserve">Project </w:t>
            </w:r>
            <w:r w:rsidR="00AE0E25">
              <w:rPr>
                <w:i/>
                <w:iCs/>
                <w:sz w:val="16"/>
                <w:szCs w:val="16"/>
              </w:rPr>
              <w:t>Developers</w:t>
            </w:r>
            <w:r w:rsidR="001735E1">
              <w:rPr>
                <w:i/>
                <w:iCs/>
                <w:sz w:val="16"/>
                <w:szCs w:val="16"/>
              </w:rPr>
              <w:t xml:space="preserve"> can calculate project-specific </w:t>
            </w:r>
            <w:proofErr w:type="spellStart"/>
            <w:r w:rsidR="001735E1">
              <w:rPr>
                <w:i/>
                <w:iCs/>
                <w:sz w:val="16"/>
                <w:szCs w:val="16"/>
              </w:rPr>
              <w:t>fNRB</w:t>
            </w:r>
            <w:proofErr w:type="spellEnd"/>
            <w:r w:rsidR="003A7E76">
              <w:rPr>
                <w:i/>
                <w:iCs/>
                <w:sz w:val="16"/>
                <w:szCs w:val="16"/>
              </w:rPr>
              <w:t xml:space="preserve"> rates</w:t>
            </w:r>
            <w:r w:rsidR="00AE0E25">
              <w:rPr>
                <w:i/>
                <w:iCs/>
                <w:sz w:val="16"/>
                <w:szCs w:val="16"/>
              </w:rPr>
              <w:t xml:space="preserve"> that captures this variability more effectively using localized data on </w:t>
            </w:r>
            <w:r w:rsidR="00AE0E25" w:rsidRPr="00AE0E25">
              <w:rPr>
                <w:i/>
                <w:iCs/>
                <w:sz w:val="16"/>
                <w:szCs w:val="16"/>
              </w:rPr>
              <w:t>biomass fuel use and harvesting</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E6B7C9B" w14:textId="77777777" w:rsidR="00863150" w:rsidRDefault="00863150">
            <w:pPr>
              <w:keepLines/>
              <w:spacing w:before="40" w:after="40" w:line="190" w:lineRule="exact"/>
              <w:jc w:val="center"/>
              <w:rPr>
                <w:b/>
                <w:bCs/>
                <w:sz w:val="16"/>
                <w:szCs w:val="16"/>
              </w:rPr>
            </w:pPr>
          </w:p>
        </w:tc>
      </w:tr>
      <w:tr w:rsidR="00863150" w14:paraId="68B3B5E7" w14:textId="77777777" w:rsidTr="6316D333">
        <w:trPr>
          <w:cantSplit/>
          <w:jc w:val="center"/>
        </w:trPr>
        <w:tc>
          <w:tcPr>
            <w:tcW w:w="360" w:type="dxa"/>
            <w:tcBorders>
              <w:top w:val="single" w:sz="6" w:space="0" w:color="auto"/>
              <w:left w:val="single" w:sz="6" w:space="0" w:color="auto"/>
              <w:bottom w:val="single" w:sz="6" w:space="0" w:color="auto"/>
              <w:right w:val="single" w:sz="6" w:space="0" w:color="auto"/>
            </w:tcBorders>
          </w:tcPr>
          <w:p w14:paraId="5438766A" w14:textId="77777777"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15239FAB" w14:textId="5438C380" w:rsidR="00863150" w:rsidRDefault="53E40336">
            <w:pPr>
              <w:keepLines/>
              <w:spacing w:before="40" w:after="40" w:line="190" w:lineRule="exact"/>
              <w:jc w:val="center"/>
              <w:rPr>
                <w:b/>
                <w:bCs/>
                <w:sz w:val="16"/>
                <w:szCs w:val="16"/>
              </w:rPr>
            </w:pPr>
            <w:r w:rsidRPr="6316D333">
              <w:rPr>
                <w:b/>
                <w:bCs/>
                <w:sz w:val="16"/>
                <w:szCs w:val="16"/>
              </w:rPr>
              <w:t>Page 27</w:t>
            </w:r>
          </w:p>
        </w:tc>
        <w:tc>
          <w:tcPr>
            <w:tcW w:w="1022" w:type="dxa"/>
            <w:tcBorders>
              <w:top w:val="single" w:sz="6" w:space="0" w:color="auto"/>
              <w:left w:val="single" w:sz="6" w:space="0" w:color="auto"/>
              <w:bottom w:val="single" w:sz="6" w:space="0" w:color="auto"/>
              <w:right w:val="single" w:sz="6" w:space="0" w:color="auto"/>
            </w:tcBorders>
          </w:tcPr>
          <w:p w14:paraId="12B130D3" w14:textId="2D0012AB" w:rsidR="00863150" w:rsidRDefault="53E40336">
            <w:pPr>
              <w:keepLines/>
              <w:spacing w:before="40" w:after="40" w:line="190" w:lineRule="exact"/>
              <w:jc w:val="center"/>
              <w:rPr>
                <w:b/>
                <w:bCs/>
                <w:sz w:val="16"/>
                <w:szCs w:val="16"/>
              </w:rPr>
            </w:pPr>
            <w:r w:rsidRPr="6316D333">
              <w:rPr>
                <w:b/>
                <w:bCs/>
                <w:sz w:val="16"/>
                <w:szCs w:val="16"/>
              </w:rPr>
              <w:t>4, 5 and 6</w:t>
            </w:r>
          </w:p>
        </w:tc>
        <w:tc>
          <w:tcPr>
            <w:tcW w:w="992" w:type="dxa"/>
            <w:tcBorders>
              <w:top w:val="single" w:sz="6" w:space="0" w:color="auto"/>
              <w:left w:val="single" w:sz="6" w:space="0" w:color="auto"/>
              <w:bottom w:val="single" w:sz="6" w:space="0" w:color="auto"/>
              <w:right w:val="single" w:sz="6" w:space="0" w:color="auto"/>
            </w:tcBorders>
          </w:tcPr>
          <w:p w14:paraId="32AACFFE" w14:textId="7CC2D166" w:rsidR="00863150" w:rsidRDefault="53E40336">
            <w:pPr>
              <w:keepLines/>
              <w:spacing w:before="40" w:after="40" w:line="190" w:lineRule="exact"/>
              <w:jc w:val="center"/>
              <w:rPr>
                <w:b/>
                <w:bCs/>
                <w:sz w:val="16"/>
                <w:szCs w:val="16"/>
              </w:rPr>
            </w:pPr>
            <w:proofErr w:type="spellStart"/>
            <w:r w:rsidRPr="6316D333">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294BC67F" w14:textId="7E9FA3D6" w:rsidR="00863150" w:rsidRPr="00563708" w:rsidRDefault="53E40336" w:rsidP="6316D333">
            <w:pPr>
              <w:keepLines/>
              <w:spacing w:before="40" w:after="40" w:line="190" w:lineRule="exact"/>
              <w:jc w:val="left"/>
              <w:rPr>
                <w:sz w:val="16"/>
                <w:szCs w:val="16"/>
              </w:rPr>
            </w:pPr>
            <w:r w:rsidRPr="6316D333">
              <w:rPr>
                <w:sz w:val="16"/>
                <w:szCs w:val="16"/>
              </w:rPr>
              <w:t xml:space="preserve">In the Quantifying Consumption section of Appendix 2 Report from External experts </w:t>
            </w:r>
            <w:r w:rsidR="23C14C84" w:rsidRPr="6316D333">
              <w:rPr>
                <w:sz w:val="16"/>
                <w:szCs w:val="16"/>
              </w:rPr>
              <w:t>it</w:t>
            </w:r>
            <w:r w:rsidRPr="6316D333">
              <w:rPr>
                <w:sz w:val="16"/>
                <w:szCs w:val="16"/>
              </w:rPr>
              <w:t xml:space="preserve"> is stated </w:t>
            </w:r>
            <w:r w:rsidR="1D5AB620" w:rsidRPr="6316D333">
              <w:rPr>
                <w:sz w:val="16"/>
                <w:szCs w:val="16"/>
              </w:rPr>
              <w:t xml:space="preserve">that </w:t>
            </w:r>
            <w:r w:rsidRPr="6316D333">
              <w:rPr>
                <w:sz w:val="16"/>
                <w:szCs w:val="16"/>
              </w:rPr>
              <w:t>“</w:t>
            </w:r>
            <w:r w:rsidR="551964AB" w:rsidRPr="00C535BB">
              <w:rPr>
                <w:i/>
                <w:iCs/>
                <w:sz w:val="16"/>
                <w:szCs w:val="16"/>
              </w:rPr>
              <w:t xml:space="preserve">A third option is to use the default value currently recommended by the UNFCCC for </w:t>
            </w:r>
            <w:proofErr w:type="spellStart"/>
            <w:r w:rsidR="551964AB" w:rsidRPr="00C535BB">
              <w:rPr>
                <w:i/>
                <w:iCs/>
                <w:sz w:val="16"/>
                <w:szCs w:val="16"/>
              </w:rPr>
              <w:t>woodfuel</w:t>
            </w:r>
            <w:proofErr w:type="spellEnd"/>
            <w:r w:rsidR="551964AB" w:rsidRPr="00C535BB">
              <w:rPr>
                <w:i/>
                <w:iCs/>
                <w:sz w:val="16"/>
                <w:szCs w:val="16"/>
              </w:rPr>
              <w:t xml:space="preserve"> projects, which is 0.4 tons of wood per capita, held constant throughout</w:t>
            </w:r>
            <w:r w:rsidR="0C308B1E" w:rsidRPr="00C535BB">
              <w:rPr>
                <w:i/>
                <w:iCs/>
                <w:sz w:val="16"/>
                <w:szCs w:val="16"/>
              </w:rPr>
              <w:t xml:space="preserve"> the entire simulation. We selected this option since it falls between the two previous options.”</w:t>
            </w:r>
            <w:r w:rsidR="0C308B1E" w:rsidRPr="6316D333">
              <w:rPr>
                <w:sz w:val="16"/>
                <w:szCs w:val="16"/>
              </w:rPr>
              <w:t xml:space="preserve">. </w:t>
            </w:r>
            <w:r w:rsidR="00863150">
              <w:br/>
            </w:r>
            <w:r w:rsidR="00863150">
              <w:br/>
            </w:r>
            <w:r w:rsidR="13DD5A8F" w:rsidRPr="6316D333">
              <w:rPr>
                <w:sz w:val="16"/>
                <w:szCs w:val="16"/>
              </w:rPr>
              <w:t xml:space="preserve">As the actual </w:t>
            </w:r>
            <w:proofErr w:type="spellStart"/>
            <w:r w:rsidR="13DD5A8F" w:rsidRPr="6316D333">
              <w:rPr>
                <w:sz w:val="16"/>
                <w:szCs w:val="16"/>
              </w:rPr>
              <w:t>woodfuel</w:t>
            </w:r>
            <w:proofErr w:type="spellEnd"/>
            <w:r w:rsidR="13DD5A8F" w:rsidRPr="6316D333">
              <w:rPr>
                <w:sz w:val="16"/>
                <w:szCs w:val="16"/>
              </w:rPr>
              <w:t xml:space="preserve"> consumption in an area plays a crucial part in determining the </w:t>
            </w:r>
            <w:proofErr w:type="spellStart"/>
            <w:r w:rsidR="13DD5A8F" w:rsidRPr="6316D333">
              <w:rPr>
                <w:sz w:val="16"/>
                <w:szCs w:val="16"/>
              </w:rPr>
              <w:t>fNRB</w:t>
            </w:r>
            <w:proofErr w:type="spellEnd"/>
            <w:r w:rsidR="13DD5A8F" w:rsidRPr="6316D333">
              <w:rPr>
                <w:sz w:val="16"/>
                <w:szCs w:val="16"/>
              </w:rPr>
              <w:t xml:space="preserve"> and is one of the key variables, we believe that a general default value </w:t>
            </w:r>
            <w:r w:rsidR="29B1E9E0" w:rsidRPr="6316D333">
              <w:rPr>
                <w:sz w:val="16"/>
                <w:szCs w:val="16"/>
              </w:rPr>
              <w:t>is not appropriate to use.</w:t>
            </w:r>
          </w:p>
          <w:p w14:paraId="2DB1A247" w14:textId="6536FEBF" w:rsidR="00863150" w:rsidRPr="00563708" w:rsidRDefault="00863150" w:rsidP="6316D333">
            <w:pPr>
              <w:keepLines/>
              <w:spacing w:before="40" w:after="40" w:line="190" w:lineRule="exact"/>
              <w:jc w:val="left"/>
              <w:rPr>
                <w:sz w:val="16"/>
                <w:szCs w:val="16"/>
              </w:rPr>
            </w:pPr>
          </w:p>
          <w:p w14:paraId="749FC8D8" w14:textId="6A17A043" w:rsidR="00863150" w:rsidRPr="00563708" w:rsidRDefault="29B1E9E0" w:rsidP="6316D333">
            <w:pPr>
              <w:keepLines/>
              <w:spacing w:before="40" w:after="40" w:line="190" w:lineRule="exact"/>
              <w:jc w:val="left"/>
              <w:rPr>
                <w:sz w:val="16"/>
                <w:szCs w:val="16"/>
              </w:rPr>
            </w:pPr>
            <w:r w:rsidRPr="6316D333">
              <w:rPr>
                <w:sz w:val="16"/>
                <w:szCs w:val="16"/>
              </w:rPr>
              <w:t xml:space="preserve">Through numerous baseline studies conducted by our team using the robust KPT version 4 protocol, which </w:t>
            </w:r>
            <w:proofErr w:type="gramStart"/>
            <w:r w:rsidRPr="6316D333">
              <w:rPr>
                <w:sz w:val="16"/>
                <w:szCs w:val="16"/>
              </w:rPr>
              <w:t>is considered to be</w:t>
            </w:r>
            <w:proofErr w:type="gramEnd"/>
            <w:r w:rsidRPr="6316D333">
              <w:rPr>
                <w:sz w:val="16"/>
                <w:szCs w:val="16"/>
              </w:rPr>
              <w:t xml:space="preserve"> one of the most robust field tests to determine </w:t>
            </w:r>
            <w:r w:rsidR="08802A57" w:rsidRPr="6316D333">
              <w:rPr>
                <w:sz w:val="16"/>
                <w:szCs w:val="16"/>
              </w:rPr>
              <w:t xml:space="preserve">actual household wood consumption, the average wood use per capita per annum greatly exceeds the value used in the proposed </w:t>
            </w:r>
            <w:proofErr w:type="spellStart"/>
            <w:r w:rsidR="08802A57" w:rsidRPr="6316D333">
              <w:rPr>
                <w:sz w:val="16"/>
                <w:szCs w:val="16"/>
              </w:rPr>
              <w:t>fNRB</w:t>
            </w:r>
            <w:proofErr w:type="spellEnd"/>
            <w:r w:rsidR="08802A57" w:rsidRPr="6316D333">
              <w:rPr>
                <w:sz w:val="16"/>
                <w:szCs w:val="16"/>
              </w:rPr>
              <w:t xml:space="preserve"> </w:t>
            </w:r>
            <w:r w:rsidR="3D924A7F" w:rsidRPr="6316D333">
              <w:rPr>
                <w:sz w:val="16"/>
                <w:szCs w:val="16"/>
              </w:rPr>
              <w:t>calculation. Please see baseline wood use values from various of our registered carbon project below as determined through conducting KPTs:</w:t>
            </w:r>
          </w:p>
          <w:p w14:paraId="7F6097BA" w14:textId="6DEECCCA" w:rsidR="00863150" w:rsidRPr="00563708" w:rsidRDefault="00863150" w:rsidP="6316D333">
            <w:pPr>
              <w:keepLines/>
              <w:spacing w:before="40" w:after="40" w:line="190" w:lineRule="exact"/>
              <w:jc w:val="left"/>
              <w:rPr>
                <w:sz w:val="16"/>
                <w:szCs w:val="16"/>
              </w:rPr>
            </w:pPr>
          </w:p>
          <w:p w14:paraId="173F933C" w14:textId="6DBA09D4" w:rsidR="00863150" w:rsidRPr="00563708" w:rsidRDefault="3D924A7F" w:rsidP="6316D333">
            <w:pPr>
              <w:keepLines/>
              <w:spacing w:before="40" w:after="40" w:line="190" w:lineRule="exact"/>
              <w:jc w:val="left"/>
              <w:rPr>
                <w:sz w:val="16"/>
                <w:szCs w:val="16"/>
              </w:rPr>
            </w:pPr>
            <w:r w:rsidRPr="6316D333">
              <w:rPr>
                <w:sz w:val="16"/>
                <w:szCs w:val="16"/>
              </w:rPr>
              <w:t>GS11145:</w:t>
            </w:r>
            <w:r w:rsidR="4D7E549D" w:rsidRPr="6316D333">
              <w:rPr>
                <w:sz w:val="16"/>
                <w:szCs w:val="16"/>
              </w:rPr>
              <w:t xml:space="preserve"> 0.8 tons per capita per annum</w:t>
            </w:r>
            <w:r w:rsidR="52346FED" w:rsidRPr="6316D333">
              <w:rPr>
                <w:sz w:val="16"/>
                <w:szCs w:val="16"/>
              </w:rPr>
              <w:t xml:space="preserve"> (Zambia)</w:t>
            </w:r>
          </w:p>
          <w:p w14:paraId="2CD3EF2E" w14:textId="3C7A56BF" w:rsidR="00863150" w:rsidRPr="00563708" w:rsidRDefault="3D924A7F" w:rsidP="6316D333">
            <w:pPr>
              <w:keepLines/>
              <w:spacing w:before="40" w:after="40" w:line="190" w:lineRule="exact"/>
              <w:jc w:val="left"/>
              <w:rPr>
                <w:sz w:val="16"/>
                <w:szCs w:val="16"/>
              </w:rPr>
            </w:pPr>
            <w:r w:rsidRPr="6316D333">
              <w:rPr>
                <w:sz w:val="16"/>
                <w:szCs w:val="16"/>
              </w:rPr>
              <w:t>GS11596:</w:t>
            </w:r>
            <w:r w:rsidR="2187539C" w:rsidRPr="6316D333">
              <w:rPr>
                <w:sz w:val="16"/>
                <w:szCs w:val="16"/>
              </w:rPr>
              <w:t xml:space="preserve"> 0.8 tons per capita per annum</w:t>
            </w:r>
            <w:r w:rsidR="2271597B" w:rsidRPr="6316D333">
              <w:rPr>
                <w:sz w:val="16"/>
                <w:szCs w:val="16"/>
              </w:rPr>
              <w:t xml:space="preserve"> (Zambia)</w:t>
            </w:r>
          </w:p>
          <w:p w14:paraId="1C21225E" w14:textId="584BC36A" w:rsidR="00863150" w:rsidRPr="00563708" w:rsidRDefault="3D924A7F" w:rsidP="6316D333">
            <w:pPr>
              <w:keepLines/>
              <w:spacing w:before="40" w:after="40" w:line="190" w:lineRule="exact"/>
              <w:jc w:val="left"/>
              <w:rPr>
                <w:sz w:val="16"/>
                <w:szCs w:val="16"/>
              </w:rPr>
            </w:pPr>
            <w:r w:rsidRPr="6316D333">
              <w:rPr>
                <w:sz w:val="16"/>
                <w:szCs w:val="16"/>
              </w:rPr>
              <w:t>GS11551:</w:t>
            </w:r>
            <w:r w:rsidR="4717BE39" w:rsidRPr="6316D333">
              <w:rPr>
                <w:sz w:val="16"/>
                <w:szCs w:val="16"/>
              </w:rPr>
              <w:t xml:space="preserve"> 0.92 tons per capita per annum</w:t>
            </w:r>
            <w:r w:rsidR="50DF4D6A" w:rsidRPr="6316D333">
              <w:rPr>
                <w:sz w:val="16"/>
                <w:szCs w:val="16"/>
              </w:rPr>
              <w:t xml:space="preserve"> (Zimbabwe)</w:t>
            </w:r>
          </w:p>
          <w:p w14:paraId="57D6B6AD" w14:textId="595DBE1B" w:rsidR="00863150" w:rsidRPr="00563708" w:rsidRDefault="23C4FF57" w:rsidP="6316D333">
            <w:pPr>
              <w:keepLines/>
              <w:spacing w:before="40" w:after="40" w:line="190" w:lineRule="exact"/>
              <w:jc w:val="left"/>
              <w:rPr>
                <w:sz w:val="16"/>
                <w:szCs w:val="16"/>
              </w:rPr>
            </w:pPr>
            <w:r w:rsidRPr="6316D333">
              <w:rPr>
                <w:sz w:val="16"/>
                <w:szCs w:val="16"/>
              </w:rPr>
              <w:t>VCS 2505:</w:t>
            </w:r>
          </w:p>
          <w:p w14:paraId="685E5928" w14:textId="719E5EA8" w:rsidR="00863150" w:rsidRPr="00563708" w:rsidRDefault="23C4FF57" w:rsidP="6316D333">
            <w:pPr>
              <w:keepLines/>
              <w:spacing w:before="40" w:after="40" w:line="190" w:lineRule="exact"/>
              <w:jc w:val="left"/>
              <w:rPr>
                <w:sz w:val="16"/>
                <w:szCs w:val="16"/>
              </w:rPr>
            </w:pPr>
            <w:r w:rsidRPr="6316D333">
              <w:rPr>
                <w:sz w:val="16"/>
                <w:szCs w:val="16"/>
              </w:rPr>
              <w:t>Instance 1 – 1.3 tons per capita per annum</w:t>
            </w:r>
            <w:r w:rsidR="72E1FD54" w:rsidRPr="6316D333">
              <w:rPr>
                <w:sz w:val="16"/>
                <w:szCs w:val="16"/>
              </w:rPr>
              <w:t xml:space="preserve"> (South Africa K2C Region)</w:t>
            </w:r>
          </w:p>
          <w:p w14:paraId="6AF0DBB9" w14:textId="551A0BF0" w:rsidR="00863150" w:rsidRPr="00563708" w:rsidRDefault="23C4FF57" w:rsidP="6316D333">
            <w:pPr>
              <w:keepLines/>
              <w:spacing w:before="40" w:after="40" w:line="190" w:lineRule="exact"/>
              <w:jc w:val="left"/>
              <w:rPr>
                <w:sz w:val="16"/>
                <w:szCs w:val="16"/>
              </w:rPr>
            </w:pPr>
            <w:r w:rsidRPr="6316D333">
              <w:rPr>
                <w:sz w:val="16"/>
                <w:szCs w:val="16"/>
              </w:rPr>
              <w:t>Instance 2 – 1.</w:t>
            </w:r>
            <w:r w:rsidR="69C53153" w:rsidRPr="6316D333">
              <w:rPr>
                <w:sz w:val="16"/>
                <w:szCs w:val="16"/>
              </w:rPr>
              <w:t>5</w:t>
            </w:r>
            <w:r w:rsidRPr="6316D333">
              <w:rPr>
                <w:sz w:val="16"/>
                <w:szCs w:val="16"/>
              </w:rPr>
              <w:t xml:space="preserve"> tons per capita per annum</w:t>
            </w:r>
            <w:r w:rsidR="5FEE7883" w:rsidRPr="6316D333">
              <w:rPr>
                <w:sz w:val="16"/>
                <w:szCs w:val="16"/>
              </w:rPr>
              <w:t xml:space="preserve"> (South Africa Waterberg Region)</w:t>
            </w:r>
          </w:p>
          <w:p w14:paraId="06DCCB86" w14:textId="480A2BC3" w:rsidR="00863150" w:rsidRPr="00563708" w:rsidRDefault="00863150" w:rsidP="6316D333">
            <w:pPr>
              <w:keepLines/>
              <w:spacing w:before="40" w:after="40" w:line="190" w:lineRule="exact"/>
              <w:jc w:val="left"/>
              <w:rPr>
                <w:sz w:val="16"/>
                <w:szCs w:val="16"/>
              </w:rPr>
            </w:pPr>
          </w:p>
          <w:p w14:paraId="5DFA05BC" w14:textId="6F674374" w:rsidR="00863150" w:rsidRPr="00563708" w:rsidRDefault="3EFE1F65" w:rsidP="6316D333">
            <w:pPr>
              <w:keepLines/>
              <w:spacing w:before="40" w:after="40" w:line="190" w:lineRule="exact"/>
              <w:jc w:val="left"/>
              <w:rPr>
                <w:sz w:val="16"/>
                <w:szCs w:val="16"/>
              </w:rPr>
            </w:pPr>
            <w:r w:rsidRPr="6316D333">
              <w:rPr>
                <w:sz w:val="16"/>
                <w:szCs w:val="16"/>
              </w:rPr>
              <w:t xml:space="preserve">From the above values </w:t>
            </w:r>
            <w:proofErr w:type="gramStart"/>
            <w:r w:rsidRPr="6316D333">
              <w:rPr>
                <w:sz w:val="16"/>
                <w:szCs w:val="16"/>
              </w:rPr>
              <w:t>it is clear that the</w:t>
            </w:r>
            <w:proofErr w:type="gramEnd"/>
            <w:r w:rsidRPr="6316D333">
              <w:rPr>
                <w:sz w:val="16"/>
                <w:szCs w:val="16"/>
              </w:rPr>
              <w:t xml:space="preserve"> default value of .04 used to calculate the household wood consumption is f</w:t>
            </w:r>
            <w:r w:rsidR="16BBB961" w:rsidRPr="6316D333">
              <w:rPr>
                <w:sz w:val="16"/>
                <w:szCs w:val="16"/>
              </w:rPr>
              <w:t xml:space="preserve">ar too low and cannot be </w:t>
            </w:r>
            <w:r w:rsidR="45674325" w:rsidRPr="6316D333">
              <w:rPr>
                <w:sz w:val="16"/>
                <w:szCs w:val="16"/>
              </w:rPr>
              <w:t xml:space="preserve">used as a blanket value for all regions considered in the </w:t>
            </w:r>
            <w:proofErr w:type="spellStart"/>
            <w:r w:rsidR="45674325" w:rsidRPr="6316D333">
              <w:rPr>
                <w:sz w:val="16"/>
                <w:szCs w:val="16"/>
              </w:rPr>
              <w:t>fNRB</w:t>
            </w:r>
            <w:proofErr w:type="spellEnd"/>
            <w:r w:rsidR="45674325" w:rsidRPr="6316D333">
              <w:rPr>
                <w:sz w:val="16"/>
                <w:szCs w:val="16"/>
              </w:rPr>
              <w:t xml:space="preserve"> study.</w:t>
            </w:r>
          </w:p>
        </w:tc>
        <w:tc>
          <w:tcPr>
            <w:tcW w:w="4253" w:type="dxa"/>
            <w:tcBorders>
              <w:top w:val="single" w:sz="6" w:space="0" w:color="auto"/>
              <w:left w:val="single" w:sz="6" w:space="0" w:color="auto"/>
              <w:bottom w:val="single" w:sz="6" w:space="0" w:color="auto"/>
              <w:right w:val="single" w:sz="6" w:space="0" w:color="auto"/>
            </w:tcBorders>
          </w:tcPr>
          <w:p w14:paraId="5BBADB8E" w14:textId="207E5AD8" w:rsidR="00863150" w:rsidRPr="00563708" w:rsidRDefault="45674325" w:rsidP="00563708">
            <w:pPr>
              <w:keepLines/>
              <w:spacing w:before="40" w:after="40" w:line="190" w:lineRule="exact"/>
              <w:jc w:val="left"/>
              <w:rPr>
                <w:sz w:val="16"/>
                <w:szCs w:val="16"/>
              </w:rPr>
            </w:pPr>
            <w:r w:rsidRPr="6316D333">
              <w:rPr>
                <w:sz w:val="16"/>
                <w:szCs w:val="16"/>
              </w:rPr>
              <w:t>It is proposed that the authors of the study and the UNFCCC re do the calculations using more appropriate consumption values as derived through KPTs or other similar field performance tests used t</w:t>
            </w:r>
            <w:r w:rsidR="54EAA58A" w:rsidRPr="6316D333">
              <w:rPr>
                <w:sz w:val="16"/>
                <w:szCs w:val="16"/>
              </w:rPr>
              <w:t>o determine baseline wood consumption. There are numerous project developers who on the regular conduct baseline KPT’s throughout the areas considered in the study. This data is</w:t>
            </w:r>
            <w:r w:rsidR="3110E97E" w:rsidRPr="6316D333">
              <w:rPr>
                <w:sz w:val="16"/>
                <w:szCs w:val="16"/>
              </w:rPr>
              <w:t xml:space="preserve"> also available to the public as PD’s are required to share information such as this in the public domain through the respective carbon registries.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A85C3C2" w14:textId="77777777" w:rsidR="00863150" w:rsidRDefault="00863150">
            <w:pPr>
              <w:keepLines/>
              <w:spacing w:before="40" w:after="40" w:line="190" w:lineRule="exact"/>
              <w:jc w:val="center"/>
              <w:rPr>
                <w:b/>
                <w:bCs/>
                <w:sz w:val="16"/>
                <w:szCs w:val="16"/>
              </w:rPr>
            </w:pPr>
          </w:p>
        </w:tc>
      </w:tr>
      <w:tr w:rsidR="00863150" w14:paraId="27BA32EE" w14:textId="77777777" w:rsidTr="6316D333">
        <w:trPr>
          <w:cantSplit/>
          <w:jc w:val="center"/>
        </w:trPr>
        <w:tc>
          <w:tcPr>
            <w:tcW w:w="360" w:type="dxa"/>
            <w:tcBorders>
              <w:top w:val="single" w:sz="6" w:space="0" w:color="auto"/>
              <w:left w:val="single" w:sz="6" w:space="0" w:color="auto"/>
              <w:bottom w:val="single" w:sz="6" w:space="0" w:color="auto"/>
              <w:right w:val="single" w:sz="6" w:space="0" w:color="auto"/>
            </w:tcBorders>
          </w:tcPr>
          <w:p w14:paraId="5156433F" w14:textId="77777777"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755EAA0A" w14:textId="77777777"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4BAE3FE3" w14:textId="77777777"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76D5C3D9" w14:textId="77777777"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01C75A9D" w14:textId="77777777" w:rsidR="00863150" w:rsidRPr="00563708" w:rsidRDefault="00863150" w:rsidP="00563708">
            <w:pPr>
              <w:keepLines/>
              <w:spacing w:before="40" w:after="40" w:line="190" w:lineRule="exact"/>
              <w:jc w:val="left"/>
              <w:rPr>
                <w:sz w:val="16"/>
                <w:szCs w:val="16"/>
              </w:rPr>
            </w:pPr>
          </w:p>
        </w:tc>
        <w:tc>
          <w:tcPr>
            <w:tcW w:w="4253" w:type="dxa"/>
            <w:tcBorders>
              <w:top w:val="single" w:sz="6" w:space="0" w:color="auto"/>
              <w:left w:val="single" w:sz="6" w:space="0" w:color="auto"/>
              <w:bottom w:val="single" w:sz="6" w:space="0" w:color="auto"/>
              <w:right w:val="single" w:sz="6" w:space="0" w:color="auto"/>
            </w:tcBorders>
          </w:tcPr>
          <w:p w14:paraId="57EBF966" w14:textId="77777777" w:rsidR="00863150" w:rsidRPr="00563708" w:rsidRDefault="00863150" w:rsidP="00563708">
            <w:pPr>
              <w:keepLines/>
              <w:spacing w:before="40" w:after="40" w:line="190" w:lineRule="exact"/>
              <w:jc w:val="left"/>
              <w:rPr>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12CB9906" w14:textId="77777777" w:rsidR="00863150" w:rsidRDefault="00863150">
            <w:pPr>
              <w:keepLines/>
              <w:spacing w:before="40" w:after="40" w:line="190" w:lineRule="exact"/>
              <w:jc w:val="center"/>
              <w:rPr>
                <w:b/>
                <w:bCs/>
                <w:sz w:val="16"/>
                <w:szCs w:val="16"/>
              </w:rPr>
            </w:pPr>
          </w:p>
        </w:tc>
      </w:tr>
      <w:tr w:rsidR="00863150" w14:paraId="7E97068E" w14:textId="77777777" w:rsidTr="6316D333">
        <w:trPr>
          <w:cantSplit/>
          <w:jc w:val="center"/>
        </w:trPr>
        <w:tc>
          <w:tcPr>
            <w:tcW w:w="360" w:type="dxa"/>
            <w:tcBorders>
              <w:top w:val="single" w:sz="6" w:space="0" w:color="auto"/>
              <w:left w:val="single" w:sz="6" w:space="0" w:color="auto"/>
              <w:bottom w:val="single" w:sz="6" w:space="0" w:color="auto"/>
              <w:right w:val="single" w:sz="6" w:space="0" w:color="auto"/>
            </w:tcBorders>
          </w:tcPr>
          <w:p w14:paraId="2D408D55" w14:textId="77777777"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207ACA8D" w14:textId="77777777"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21B94071" w14:textId="77777777"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5AE9F1E3" w14:textId="77777777"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5BF16C34" w14:textId="77777777" w:rsidR="00863150" w:rsidRPr="00563708" w:rsidRDefault="00863150" w:rsidP="00563708">
            <w:pPr>
              <w:keepLines/>
              <w:spacing w:before="40" w:after="40" w:line="190" w:lineRule="exact"/>
              <w:jc w:val="left"/>
              <w:rPr>
                <w:sz w:val="16"/>
                <w:szCs w:val="16"/>
              </w:rPr>
            </w:pPr>
          </w:p>
        </w:tc>
        <w:tc>
          <w:tcPr>
            <w:tcW w:w="4253" w:type="dxa"/>
            <w:tcBorders>
              <w:top w:val="single" w:sz="6" w:space="0" w:color="auto"/>
              <w:left w:val="single" w:sz="6" w:space="0" w:color="auto"/>
              <w:bottom w:val="single" w:sz="6" w:space="0" w:color="auto"/>
              <w:right w:val="single" w:sz="6" w:space="0" w:color="auto"/>
            </w:tcBorders>
          </w:tcPr>
          <w:p w14:paraId="57D0DF74" w14:textId="77777777" w:rsidR="00863150" w:rsidRPr="00563708" w:rsidRDefault="00863150" w:rsidP="00563708">
            <w:pPr>
              <w:keepLines/>
              <w:spacing w:before="40" w:after="40" w:line="190" w:lineRule="exact"/>
              <w:jc w:val="left"/>
              <w:rPr>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31959CF" w14:textId="77777777" w:rsidR="00863150" w:rsidRDefault="00863150">
            <w:pPr>
              <w:keepLines/>
              <w:spacing w:before="40" w:after="40" w:line="190" w:lineRule="exact"/>
              <w:jc w:val="center"/>
              <w:rPr>
                <w:b/>
                <w:bCs/>
                <w:sz w:val="16"/>
                <w:szCs w:val="16"/>
              </w:rPr>
            </w:pPr>
          </w:p>
        </w:tc>
      </w:tr>
      <w:tr w:rsidR="00863150" w14:paraId="3B9D658A" w14:textId="77777777" w:rsidTr="6316D333">
        <w:trPr>
          <w:cantSplit/>
          <w:jc w:val="center"/>
        </w:trPr>
        <w:tc>
          <w:tcPr>
            <w:tcW w:w="360" w:type="dxa"/>
            <w:tcBorders>
              <w:top w:val="single" w:sz="6" w:space="0" w:color="auto"/>
              <w:left w:val="single" w:sz="6" w:space="0" w:color="auto"/>
              <w:bottom w:val="single" w:sz="6" w:space="0" w:color="auto"/>
              <w:right w:val="single" w:sz="6" w:space="0" w:color="auto"/>
            </w:tcBorders>
          </w:tcPr>
          <w:p w14:paraId="02E363D0" w14:textId="77777777"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6878CE18" w14:textId="77777777"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7D875D03" w14:textId="77777777"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4D083B51" w14:textId="77777777"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4FD87CC0" w14:textId="77777777" w:rsidR="00863150" w:rsidRPr="00563708" w:rsidRDefault="00863150" w:rsidP="00563708">
            <w:pPr>
              <w:keepLines/>
              <w:spacing w:before="40" w:after="40" w:line="190" w:lineRule="exact"/>
              <w:jc w:val="left"/>
              <w:rPr>
                <w:sz w:val="16"/>
                <w:szCs w:val="16"/>
              </w:rPr>
            </w:pPr>
          </w:p>
        </w:tc>
        <w:tc>
          <w:tcPr>
            <w:tcW w:w="4253" w:type="dxa"/>
            <w:tcBorders>
              <w:top w:val="single" w:sz="6" w:space="0" w:color="auto"/>
              <w:left w:val="single" w:sz="6" w:space="0" w:color="auto"/>
              <w:bottom w:val="single" w:sz="6" w:space="0" w:color="auto"/>
              <w:right w:val="single" w:sz="6" w:space="0" w:color="auto"/>
            </w:tcBorders>
          </w:tcPr>
          <w:p w14:paraId="3F36A1EC" w14:textId="77777777" w:rsidR="00863150" w:rsidRPr="00563708" w:rsidRDefault="00863150" w:rsidP="00563708">
            <w:pPr>
              <w:keepLines/>
              <w:spacing w:before="40" w:after="40" w:line="190" w:lineRule="exact"/>
              <w:jc w:val="left"/>
              <w:rPr>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DEEC236" w14:textId="77777777" w:rsidR="00863150" w:rsidRDefault="00863150">
            <w:pPr>
              <w:keepLines/>
              <w:spacing w:before="40" w:after="40" w:line="190" w:lineRule="exact"/>
              <w:jc w:val="center"/>
              <w:rPr>
                <w:b/>
                <w:bCs/>
                <w:sz w:val="16"/>
                <w:szCs w:val="16"/>
              </w:rPr>
            </w:pPr>
          </w:p>
        </w:tc>
      </w:tr>
      <w:tr w:rsidR="00863150" w14:paraId="40B8270E" w14:textId="77777777" w:rsidTr="6316D333">
        <w:trPr>
          <w:cantSplit/>
          <w:jc w:val="center"/>
        </w:trPr>
        <w:tc>
          <w:tcPr>
            <w:tcW w:w="360" w:type="dxa"/>
            <w:tcBorders>
              <w:top w:val="single" w:sz="6" w:space="0" w:color="auto"/>
              <w:left w:val="single" w:sz="6" w:space="0" w:color="auto"/>
              <w:bottom w:val="single" w:sz="6" w:space="0" w:color="auto"/>
              <w:right w:val="single" w:sz="6" w:space="0" w:color="auto"/>
            </w:tcBorders>
          </w:tcPr>
          <w:p w14:paraId="204D2365" w14:textId="77777777"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4A539F60" w14:textId="77777777"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0515FCDF" w14:textId="77777777"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3792A611" w14:textId="77777777"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0FF9B6B7" w14:textId="77777777" w:rsidR="00863150" w:rsidRPr="00563708" w:rsidRDefault="00863150" w:rsidP="00563708">
            <w:pPr>
              <w:keepLines/>
              <w:spacing w:before="40" w:after="40" w:line="190" w:lineRule="exact"/>
              <w:jc w:val="left"/>
              <w:rPr>
                <w:sz w:val="16"/>
                <w:szCs w:val="16"/>
              </w:rPr>
            </w:pPr>
          </w:p>
        </w:tc>
        <w:tc>
          <w:tcPr>
            <w:tcW w:w="4253" w:type="dxa"/>
            <w:tcBorders>
              <w:top w:val="single" w:sz="6" w:space="0" w:color="auto"/>
              <w:left w:val="single" w:sz="6" w:space="0" w:color="auto"/>
              <w:bottom w:val="single" w:sz="6" w:space="0" w:color="auto"/>
              <w:right w:val="single" w:sz="6" w:space="0" w:color="auto"/>
            </w:tcBorders>
          </w:tcPr>
          <w:p w14:paraId="79E34A77" w14:textId="77777777" w:rsidR="00863150" w:rsidRPr="00563708" w:rsidRDefault="00863150" w:rsidP="00563708">
            <w:pPr>
              <w:keepLines/>
              <w:spacing w:before="40" w:after="40" w:line="190" w:lineRule="exact"/>
              <w:jc w:val="left"/>
              <w:rPr>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1FACBC15" w14:textId="77777777" w:rsidR="00863150" w:rsidRDefault="00863150">
            <w:pPr>
              <w:keepLines/>
              <w:spacing w:before="40" w:after="40" w:line="190" w:lineRule="exact"/>
              <w:jc w:val="center"/>
              <w:rPr>
                <w:b/>
                <w:bCs/>
                <w:sz w:val="16"/>
                <w:szCs w:val="16"/>
              </w:rPr>
            </w:pPr>
          </w:p>
        </w:tc>
      </w:tr>
      <w:tr w:rsidR="00863150" w14:paraId="62E5AA74" w14:textId="77777777" w:rsidTr="6316D333">
        <w:trPr>
          <w:cantSplit/>
          <w:jc w:val="center"/>
        </w:trPr>
        <w:tc>
          <w:tcPr>
            <w:tcW w:w="360" w:type="dxa"/>
            <w:tcBorders>
              <w:top w:val="single" w:sz="6" w:space="0" w:color="auto"/>
              <w:left w:val="single" w:sz="6" w:space="0" w:color="auto"/>
              <w:bottom w:val="single" w:sz="6" w:space="0" w:color="auto"/>
              <w:right w:val="single" w:sz="6" w:space="0" w:color="auto"/>
            </w:tcBorders>
          </w:tcPr>
          <w:p w14:paraId="73BF0B1D" w14:textId="77777777"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031A5F3C" w14:textId="77777777"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25C4327A" w14:textId="77777777"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72D13634" w14:textId="77777777"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5F196F76" w14:textId="77777777" w:rsidR="00863150" w:rsidRPr="00563708" w:rsidRDefault="00863150" w:rsidP="00563708">
            <w:pPr>
              <w:keepLines/>
              <w:spacing w:before="40" w:after="40" w:line="190" w:lineRule="exact"/>
              <w:jc w:val="left"/>
              <w:rPr>
                <w:sz w:val="16"/>
                <w:szCs w:val="16"/>
              </w:rPr>
            </w:pPr>
          </w:p>
        </w:tc>
        <w:tc>
          <w:tcPr>
            <w:tcW w:w="4253" w:type="dxa"/>
            <w:tcBorders>
              <w:top w:val="single" w:sz="6" w:space="0" w:color="auto"/>
              <w:left w:val="single" w:sz="6" w:space="0" w:color="auto"/>
              <w:bottom w:val="single" w:sz="6" w:space="0" w:color="auto"/>
              <w:right w:val="single" w:sz="6" w:space="0" w:color="auto"/>
            </w:tcBorders>
          </w:tcPr>
          <w:p w14:paraId="6DD5E465" w14:textId="77777777" w:rsidR="00863150" w:rsidRPr="00563708" w:rsidRDefault="00863150" w:rsidP="00563708">
            <w:pPr>
              <w:keepLines/>
              <w:spacing w:before="40" w:after="40" w:line="190" w:lineRule="exact"/>
              <w:jc w:val="left"/>
              <w:rPr>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1A7F16D" w14:textId="77777777" w:rsidR="00863150" w:rsidRDefault="00863150">
            <w:pPr>
              <w:keepLines/>
              <w:spacing w:before="40" w:after="40" w:line="190" w:lineRule="exact"/>
              <w:jc w:val="center"/>
              <w:rPr>
                <w:b/>
                <w:bCs/>
                <w:sz w:val="16"/>
                <w:szCs w:val="16"/>
              </w:rPr>
            </w:pPr>
          </w:p>
        </w:tc>
      </w:tr>
      <w:tr w:rsidR="00863150" w14:paraId="335D5762" w14:textId="77777777" w:rsidTr="6316D333">
        <w:trPr>
          <w:cantSplit/>
          <w:jc w:val="center"/>
        </w:trPr>
        <w:tc>
          <w:tcPr>
            <w:tcW w:w="360" w:type="dxa"/>
            <w:tcBorders>
              <w:top w:val="single" w:sz="6" w:space="0" w:color="auto"/>
              <w:left w:val="single" w:sz="6" w:space="0" w:color="auto"/>
              <w:bottom w:val="single" w:sz="6" w:space="0" w:color="auto"/>
              <w:right w:val="single" w:sz="6" w:space="0" w:color="auto"/>
            </w:tcBorders>
          </w:tcPr>
          <w:p w14:paraId="1FC90566" w14:textId="77777777"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7DE0EB0C" w14:textId="77777777"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38A63920" w14:textId="77777777"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5BEA4D93" w14:textId="77777777"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46AEEF25" w14:textId="77777777"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40194A1D" w14:textId="77777777" w:rsidR="00863150" w:rsidRDefault="00863150">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53D150D" w14:textId="77777777" w:rsidR="00863150" w:rsidRDefault="00863150">
            <w:pPr>
              <w:keepLines/>
              <w:spacing w:before="40" w:after="40" w:line="190" w:lineRule="exact"/>
              <w:jc w:val="center"/>
              <w:rPr>
                <w:b/>
                <w:bCs/>
                <w:sz w:val="16"/>
                <w:szCs w:val="16"/>
              </w:rPr>
            </w:pPr>
          </w:p>
        </w:tc>
      </w:tr>
      <w:tr w:rsidR="00863150" w14:paraId="48714BC3" w14:textId="77777777" w:rsidTr="6316D333">
        <w:trPr>
          <w:cantSplit/>
          <w:jc w:val="center"/>
        </w:trPr>
        <w:tc>
          <w:tcPr>
            <w:tcW w:w="360" w:type="dxa"/>
            <w:tcBorders>
              <w:top w:val="single" w:sz="6" w:space="0" w:color="auto"/>
              <w:left w:val="single" w:sz="6" w:space="0" w:color="auto"/>
              <w:bottom w:val="single" w:sz="6" w:space="0" w:color="auto"/>
              <w:right w:val="single" w:sz="6" w:space="0" w:color="auto"/>
            </w:tcBorders>
          </w:tcPr>
          <w:p w14:paraId="1EEE2544" w14:textId="77777777"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3118734D" w14:textId="77777777"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120C2366" w14:textId="77777777"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76B6AC09" w14:textId="77777777"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58F2C702" w14:textId="77777777"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74C98DBC" w14:textId="77777777" w:rsidR="00863150" w:rsidRDefault="00863150">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734F68B8" w14:textId="77777777" w:rsidR="00863150" w:rsidRDefault="00863150">
            <w:pPr>
              <w:keepLines/>
              <w:spacing w:before="40" w:after="40" w:line="190" w:lineRule="exact"/>
              <w:jc w:val="center"/>
              <w:rPr>
                <w:b/>
                <w:bCs/>
                <w:sz w:val="16"/>
                <w:szCs w:val="16"/>
              </w:rPr>
            </w:pPr>
          </w:p>
        </w:tc>
      </w:tr>
      <w:tr w:rsidR="00863150" w14:paraId="1E6174E2" w14:textId="77777777" w:rsidTr="6316D333">
        <w:trPr>
          <w:cantSplit/>
          <w:jc w:val="center"/>
        </w:trPr>
        <w:tc>
          <w:tcPr>
            <w:tcW w:w="360" w:type="dxa"/>
            <w:tcBorders>
              <w:top w:val="single" w:sz="6" w:space="0" w:color="auto"/>
              <w:left w:val="single" w:sz="6" w:space="0" w:color="auto"/>
              <w:bottom w:val="single" w:sz="6" w:space="0" w:color="auto"/>
              <w:right w:val="single" w:sz="6" w:space="0" w:color="auto"/>
            </w:tcBorders>
          </w:tcPr>
          <w:p w14:paraId="3D74477D" w14:textId="77777777" w:rsidR="00863150" w:rsidRDefault="00863150">
            <w:pPr>
              <w:keepLines/>
              <w:spacing w:before="40" w:after="40" w:line="190" w:lineRule="exact"/>
              <w:jc w:val="center"/>
              <w:rPr>
                <w:b/>
                <w:bCs/>
                <w:sz w:val="16"/>
                <w:szCs w:val="16"/>
              </w:rPr>
            </w:pPr>
          </w:p>
        </w:tc>
        <w:tc>
          <w:tcPr>
            <w:tcW w:w="1388" w:type="dxa"/>
            <w:tcBorders>
              <w:top w:val="single" w:sz="6" w:space="0" w:color="auto"/>
              <w:left w:val="single" w:sz="6" w:space="0" w:color="auto"/>
              <w:bottom w:val="single" w:sz="6" w:space="0" w:color="auto"/>
              <w:right w:val="single" w:sz="6" w:space="0" w:color="auto"/>
            </w:tcBorders>
          </w:tcPr>
          <w:p w14:paraId="30E76379" w14:textId="77777777" w:rsidR="00863150" w:rsidRDefault="00863150">
            <w:pPr>
              <w:keepLines/>
              <w:spacing w:before="40" w:after="40" w:line="190" w:lineRule="exact"/>
              <w:jc w:val="center"/>
              <w:rPr>
                <w:b/>
                <w:bCs/>
                <w:sz w:val="16"/>
                <w:szCs w:val="16"/>
              </w:rPr>
            </w:pPr>
          </w:p>
        </w:tc>
        <w:tc>
          <w:tcPr>
            <w:tcW w:w="1022" w:type="dxa"/>
            <w:tcBorders>
              <w:top w:val="single" w:sz="6" w:space="0" w:color="auto"/>
              <w:left w:val="single" w:sz="6" w:space="0" w:color="auto"/>
              <w:bottom w:val="single" w:sz="6" w:space="0" w:color="auto"/>
              <w:right w:val="single" w:sz="6" w:space="0" w:color="auto"/>
            </w:tcBorders>
          </w:tcPr>
          <w:p w14:paraId="37DFE35D" w14:textId="77777777" w:rsidR="00863150" w:rsidRDefault="00863150">
            <w:pPr>
              <w:keepLines/>
              <w:spacing w:before="40" w:after="40" w:line="190" w:lineRule="exact"/>
              <w:jc w:val="center"/>
              <w:rPr>
                <w:b/>
                <w:bCs/>
                <w:sz w:val="16"/>
                <w:szCs w:val="16"/>
              </w:rPr>
            </w:pPr>
          </w:p>
        </w:tc>
        <w:tc>
          <w:tcPr>
            <w:tcW w:w="992" w:type="dxa"/>
            <w:tcBorders>
              <w:top w:val="single" w:sz="6" w:space="0" w:color="auto"/>
              <w:left w:val="single" w:sz="6" w:space="0" w:color="auto"/>
              <w:bottom w:val="single" w:sz="6" w:space="0" w:color="auto"/>
              <w:right w:val="single" w:sz="6" w:space="0" w:color="auto"/>
            </w:tcBorders>
          </w:tcPr>
          <w:p w14:paraId="2322286D" w14:textId="77777777" w:rsidR="00863150" w:rsidRDefault="00863150">
            <w:pPr>
              <w:keepLines/>
              <w:spacing w:before="40" w:after="40" w:line="190" w:lineRule="exact"/>
              <w:jc w:val="center"/>
              <w:rPr>
                <w:b/>
                <w:bCs/>
                <w:sz w:val="16"/>
                <w:szCs w:val="16"/>
              </w:rPr>
            </w:pPr>
          </w:p>
        </w:tc>
        <w:tc>
          <w:tcPr>
            <w:tcW w:w="4762" w:type="dxa"/>
            <w:tcBorders>
              <w:top w:val="single" w:sz="6" w:space="0" w:color="auto"/>
              <w:left w:val="single" w:sz="6" w:space="0" w:color="auto"/>
              <w:bottom w:val="single" w:sz="6" w:space="0" w:color="auto"/>
              <w:right w:val="single" w:sz="6" w:space="0" w:color="auto"/>
            </w:tcBorders>
          </w:tcPr>
          <w:p w14:paraId="70759591" w14:textId="77777777" w:rsidR="00863150" w:rsidRDefault="00863150">
            <w:pPr>
              <w:keepLines/>
              <w:spacing w:before="40" w:after="40" w:line="190" w:lineRule="exact"/>
              <w:jc w:val="center"/>
              <w:rPr>
                <w:b/>
                <w:bCs/>
                <w:sz w:val="16"/>
                <w:szCs w:val="16"/>
              </w:rPr>
            </w:pPr>
          </w:p>
        </w:tc>
        <w:tc>
          <w:tcPr>
            <w:tcW w:w="4253" w:type="dxa"/>
            <w:tcBorders>
              <w:top w:val="single" w:sz="6" w:space="0" w:color="auto"/>
              <w:left w:val="single" w:sz="6" w:space="0" w:color="auto"/>
              <w:bottom w:val="single" w:sz="6" w:space="0" w:color="auto"/>
              <w:right w:val="single" w:sz="6" w:space="0" w:color="auto"/>
            </w:tcBorders>
          </w:tcPr>
          <w:p w14:paraId="69F7CFD0" w14:textId="77777777" w:rsidR="00863150" w:rsidRDefault="00863150">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2EC4D61" w14:textId="77777777" w:rsidR="00863150" w:rsidRDefault="00863150">
            <w:pPr>
              <w:keepLines/>
              <w:spacing w:before="40" w:after="40" w:line="190" w:lineRule="exact"/>
              <w:jc w:val="center"/>
              <w:rPr>
                <w:b/>
                <w:bCs/>
                <w:sz w:val="16"/>
                <w:szCs w:val="16"/>
              </w:rPr>
            </w:pPr>
          </w:p>
        </w:tc>
      </w:tr>
    </w:tbl>
    <w:p w14:paraId="1BCDB222" w14:textId="77777777" w:rsidR="00DF4F6B" w:rsidRDefault="00DF4F6B">
      <w:pPr>
        <w:spacing w:line="240" w:lineRule="exact"/>
      </w:pPr>
    </w:p>
    <w:sectPr w:rsidR="00DF4F6B">
      <w:headerReference w:type="default" r:id="rId12"/>
      <w:footerReference w:type="even" r:id="rId13"/>
      <w:footerReference w:type="default" r:id="rId14"/>
      <w:type w:val="continuous"/>
      <w:pgSz w:w="16840" w:h="11907" w:orient="landscape" w:code="9"/>
      <w:pgMar w:top="576" w:right="994" w:bottom="850" w:left="850" w:header="562" w:footer="562"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0EA3B" w14:textId="77777777" w:rsidR="00373E5F" w:rsidRDefault="00373E5F" w:rsidP="00DF4F6B">
      <w:r>
        <w:separator/>
      </w:r>
    </w:p>
  </w:endnote>
  <w:endnote w:type="continuationSeparator" w:id="0">
    <w:p w14:paraId="56D3C0C7" w14:textId="77777777" w:rsidR="00373E5F" w:rsidRDefault="00373E5F" w:rsidP="00DF4F6B">
      <w:r>
        <w:continuationSeparator/>
      </w:r>
    </w:p>
  </w:endnote>
  <w:endnote w:type="continuationNotice" w:id="1">
    <w:p w14:paraId="12A0090F" w14:textId="77777777" w:rsidR="00373E5F" w:rsidRDefault="00373E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Arial-ItalicMT">
    <w:altName w:val="Arial"/>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D56D"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7A50B" w14:textId="77777777" w:rsidR="00F37030" w:rsidRDefault="00F37030" w:rsidP="00DF4E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247C"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F18954" w14:textId="77777777" w:rsidR="00F37030" w:rsidRDefault="00F37030" w:rsidP="00DF4E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CA125" w14:textId="77777777" w:rsidR="00373E5F" w:rsidRDefault="00373E5F" w:rsidP="00DF4F6B">
      <w:r>
        <w:separator/>
      </w:r>
    </w:p>
  </w:footnote>
  <w:footnote w:type="continuationSeparator" w:id="0">
    <w:p w14:paraId="4F97419D" w14:textId="77777777" w:rsidR="00373E5F" w:rsidRDefault="00373E5F" w:rsidP="00DF4F6B">
      <w:r>
        <w:continuationSeparator/>
      </w:r>
    </w:p>
  </w:footnote>
  <w:footnote w:type="continuationNotice" w:id="1">
    <w:p w14:paraId="05085030" w14:textId="77777777" w:rsidR="00373E5F" w:rsidRDefault="00373E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88"/>
      <w:gridCol w:w="2294"/>
      <w:gridCol w:w="4521"/>
    </w:tblGrid>
    <w:tr w:rsidR="00F37030" w14:paraId="0F8ECA1C" w14:textId="77777777">
      <w:trPr>
        <w:cantSplit/>
        <w:jc w:val="center"/>
      </w:trPr>
      <w:tc>
        <w:tcPr>
          <w:tcW w:w="8688" w:type="dxa"/>
          <w:tcBorders>
            <w:top w:val="nil"/>
            <w:left w:val="nil"/>
            <w:bottom w:val="nil"/>
            <w:right w:val="nil"/>
          </w:tcBorders>
        </w:tcPr>
        <w:p w14:paraId="643D2012" w14:textId="77777777" w:rsidR="00F37030" w:rsidRDefault="00F37030">
          <w:pPr>
            <w:pStyle w:val="ISOComments"/>
            <w:spacing w:before="60" w:after="60"/>
            <w:rPr>
              <w:sz w:val="22"/>
            </w:rPr>
          </w:pPr>
          <w:r>
            <w:rPr>
              <w:rStyle w:val="MTEquationSection"/>
              <w:b/>
              <w:bCs/>
              <w:color w:val="auto"/>
              <w:sz w:val="22"/>
              <w:szCs w:val="22"/>
            </w:rPr>
            <w:t>Template for comments</w:t>
          </w:r>
        </w:p>
      </w:tc>
      <w:tc>
        <w:tcPr>
          <w:tcW w:w="2294" w:type="dxa"/>
          <w:tcBorders>
            <w:top w:val="single" w:sz="6" w:space="0" w:color="auto"/>
            <w:left w:val="single" w:sz="6" w:space="0" w:color="auto"/>
            <w:bottom w:val="single" w:sz="6" w:space="0" w:color="auto"/>
            <w:right w:val="single" w:sz="6" w:space="0" w:color="auto"/>
          </w:tcBorders>
        </w:tcPr>
        <w:p w14:paraId="18044243" w14:textId="64DF23C6" w:rsidR="00F37030" w:rsidRPr="00777AC5" w:rsidRDefault="00F37030">
          <w:pPr>
            <w:pStyle w:val="ISOChange"/>
            <w:spacing w:before="60" w:after="60"/>
            <w:rPr>
              <w:b/>
              <w:sz w:val="22"/>
            </w:rPr>
          </w:pPr>
          <w:r w:rsidRPr="00777AC5">
            <w:rPr>
              <w:b/>
              <w:sz w:val="22"/>
            </w:rPr>
            <w:t xml:space="preserve">Date: </w:t>
          </w:r>
          <w:r w:rsidR="004C6BF9">
            <w:rPr>
              <w:b/>
              <w:sz w:val="22"/>
            </w:rPr>
            <w:t>10/11/2023</w:t>
          </w:r>
        </w:p>
      </w:tc>
      <w:tc>
        <w:tcPr>
          <w:tcW w:w="4521" w:type="dxa"/>
          <w:tcBorders>
            <w:top w:val="single" w:sz="6" w:space="0" w:color="auto"/>
            <w:left w:val="single" w:sz="6" w:space="0" w:color="auto"/>
            <w:bottom w:val="single" w:sz="6" w:space="0" w:color="auto"/>
            <w:right w:val="single" w:sz="6" w:space="0" w:color="auto"/>
          </w:tcBorders>
        </w:tcPr>
        <w:p w14:paraId="766EB125" w14:textId="56654694" w:rsidR="00F37030" w:rsidRDefault="00F37030">
          <w:pPr>
            <w:pStyle w:val="ISOSecretObservations"/>
            <w:spacing w:before="60" w:after="60"/>
            <w:rPr>
              <w:b/>
              <w:bCs/>
              <w:sz w:val="22"/>
              <w:szCs w:val="20"/>
            </w:rPr>
          </w:pPr>
          <w:r>
            <w:rPr>
              <w:b/>
              <w:bCs/>
              <w:sz w:val="22"/>
            </w:rPr>
            <w:t>Document:</w:t>
          </w:r>
          <w:r>
            <w:rPr>
              <w:b/>
              <w:bCs/>
              <w:sz w:val="22"/>
              <w:szCs w:val="20"/>
            </w:rPr>
            <w:t xml:space="preserve">  </w:t>
          </w:r>
          <w:r w:rsidR="00730DC8">
            <w:rPr>
              <w:b/>
              <w:bCs/>
              <w:sz w:val="22"/>
              <w:szCs w:val="20"/>
            </w:rPr>
            <w:t>CDM</w:t>
          </w:r>
          <w:r w:rsidR="005B4B8B">
            <w:rPr>
              <w:b/>
              <w:bCs/>
              <w:sz w:val="22"/>
              <w:szCs w:val="20"/>
            </w:rPr>
            <w:t>-MP92_A07</w:t>
          </w:r>
        </w:p>
      </w:tc>
    </w:tr>
  </w:tbl>
  <w:p w14:paraId="73EC5CC6" w14:textId="77777777" w:rsidR="00F37030" w:rsidRDefault="00F37030">
    <w:pPr>
      <w:pStyle w:val="Header"/>
    </w:pPr>
  </w:p>
  <w:p w14:paraId="4DB01882" w14:textId="77777777" w:rsidR="00F37030" w:rsidRDefault="00F37030">
    <w:pPr>
      <w:pStyle w:val="Header"/>
      <w:rPr>
        <w:sz w:val="2"/>
        <w:szCs w:val="2"/>
      </w:rPr>
    </w:pPr>
  </w:p>
  <w:p w14:paraId="77A90160" w14:textId="77777777" w:rsidR="00F37030" w:rsidRDefault="00F37030">
    <w:pPr>
      <w:pStyle w:val="Header"/>
      <w:spacing w:line="14" w:lineRule="exac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2C752F"/>
    <w:multiLevelType w:val="multilevel"/>
    <w:tmpl w:val="CB2625E2"/>
    <w:lvl w:ilvl="0">
      <w:start w:val="1"/>
      <w:numFmt w:val="upperRoman"/>
      <w:pStyle w:val="StyleRegHead111pt"/>
      <w:suff w:val="space"/>
      <w:lvlText w:val="%1. "/>
      <w:lvlJc w:val="center"/>
      <w:pPr>
        <w:ind w:left="0" w:firstLine="0"/>
      </w:pPr>
      <w:rPr>
        <w:rFonts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num w:numId="1" w16cid:durableId="30122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 w:id="1"/>
  </w:footnotePr>
  <w:endnotePr>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974ISO" w:val="-1"/>
  </w:docVars>
  <w:rsids>
    <w:rsidRoot w:val="004248BD"/>
    <w:rsid w:val="000042BE"/>
    <w:rsid w:val="00006194"/>
    <w:rsid w:val="00027E41"/>
    <w:rsid w:val="00044598"/>
    <w:rsid w:val="00066980"/>
    <w:rsid w:val="0007356A"/>
    <w:rsid w:val="000809E4"/>
    <w:rsid w:val="00094EBC"/>
    <w:rsid w:val="00095C69"/>
    <w:rsid w:val="0009633D"/>
    <w:rsid w:val="000B0192"/>
    <w:rsid w:val="000E3E24"/>
    <w:rsid w:val="000E75BF"/>
    <w:rsid w:val="000F3630"/>
    <w:rsid w:val="001421BB"/>
    <w:rsid w:val="00143AF4"/>
    <w:rsid w:val="001555BB"/>
    <w:rsid w:val="00166D04"/>
    <w:rsid w:val="001735E1"/>
    <w:rsid w:val="001800D5"/>
    <w:rsid w:val="00182F63"/>
    <w:rsid w:val="0019124B"/>
    <w:rsid w:val="001D0F91"/>
    <w:rsid w:val="001E3876"/>
    <w:rsid w:val="00210ED5"/>
    <w:rsid w:val="00245E24"/>
    <w:rsid w:val="00262680"/>
    <w:rsid w:val="00264BF3"/>
    <w:rsid w:val="002746C1"/>
    <w:rsid w:val="00282ABC"/>
    <w:rsid w:val="002B6D13"/>
    <w:rsid w:val="002E547D"/>
    <w:rsid w:val="002F08ED"/>
    <w:rsid w:val="002F135C"/>
    <w:rsid w:val="002F2925"/>
    <w:rsid w:val="002F489A"/>
    <w:rsid w:val="002F7B53"/>
    <w:rsid w:val="0030028E"/>
    <w:rsid w:val="00300F15"/>
    <w:rsid w:val="003054DE"/>
    <w:rsid w:val="00316252"/>
    <w:rsid w:val="00320AE3"/>
    <w:rsid w:val="00332ECE"/>
    <w:rsid w:val="00355CD7"/>
    <w:rsid w:val="00366FD7"/>
    <w:rsid w:val="00373C3A"/>
    <w:rsid w:val="00373E5F"/>
    <w:rsid w:val="00380F37"/>
    <w:rsid w:val="003A7E76"/>
    <w:rsid w:val="003E6031"/>
    <w:rsid w:val="00405FB3"/>
    <w:rsid w:val="0041385B"/>
    <w:rsid w:val="0041680A"/>
    <w:rsid w:val="004248BD"/>
    <w:rsid w:val="004253B9"/>
    <w:rsid w:val="004354FC"/>
    <w:rsid w:val="00450EEA"/>
    <w:rsid w:val="00453D24"/>
    <w:rsid w:val="00453ED5"/>
    <w:rsid w:val="004625F9"/>
    <w:rsid w:val="00471364"/>
    <w:rsid w:val="00472C3C"/>
    <w:rsid w:val="00477883"/>
    <w:rsid w:val="0048149B"/>
    <w:rsid w:val="00481863"/>
    <w:rsid w:val="00495191"/>
    <w:rsid w:val="00495ED9"/>
    <w:rsid w:val="004A77A9"/>
    <w:rsid w:val="004C6BF9"/>
    <w:rsid w:val="004D2A7E"/>
    <w:rsid w:val="004E0A1B"/>
    <w:rsid w:val="004E268F"/>
    <w:rsid w:val="004F358D"/>
    <w:rsid w:val="004F4242"/>
    <w:rsid w:val="004F4791"/>
    <w:rsid w:val="005242C9"/>
    <w:rsid w:val="00524CF7"/>
    <w:rsid w:val="00542618"/>
    <w:rsid w:val="00563708"/>
    <w:rsid w:val="00564F6E"/>
    <w:rsid w:val="005962CF"/>
    <w:rsid w:val="005A256D"/>
    <w:rsid w:val="005B1074"/>
    <w:rsid w:val="005B4B8B"/>
    <w:rsid w:val="005B724E"/>
    <w:rsid w:val="005D03D6"/>
    <w:rsid w:val="005F04B1"/>
    <w:rsid w:val="00601E99"/>
    <w:rsid w:val="00607DB4"/>
    <w:rsid w:val="00614D11"/>
    <w:rsid w:val="00634157"/>
    <w:rsid w:val="00634BD6"/>
    <w:rsid w:val="006714C1"/>
    <w:rsid w:val="00696EC1"/>
    <w:rsid w:val="006A0C4A"/>
    <w:rsid w:val="006A53B2"/>
    <w:rsid w:val="006B7520"/>
    <w:rsid w:val="006D0849"/>
    <w:rsid w:val="006E341E"/>
    <w:rsid w:val="006F32C1"/>
    <w:rsid w:val="00730DC8"/>
    <w:rsid w:val="00751B81"/>
    <w:rsid w:val="0075600C"/>
    <w:rsid w:val="00777AC5"/>
    <w:rsid w:val="007817AA"/>
    <w:rsid w:val="007974D1"/>
    <w:rsid w:val="007B4894"/>
    <w:rsid w:val="007C47BF"/>
    <w:rsid w:val="007D6248"/>
    <w:rsid w:val="00830922"/>
    <w:rsid w:val="008322A8"/>
    <w:rsid w:val="00841D26"/>
    <w:rsid w:val="00844D46"/>
    <w:rsid w:val="0085072A"/>
    <w:rsid w:val="00852A3A"/>
    <w:rsid w:val="008537C7"/>
    <w:rsid w:val="00863150"/>
    <w:rsid w:val="008831CB"/>
    <w:rsid w:val="008B0280"/>
    <w:rsid w:val="008E3BBD"/>
    <w:rsid w:val="008E7B99"/>
    <w:rsid w:val="009066B4"/>
    <w:rsid w:val="009177A1"/>
    <w:rsid w:val="00920058"/>
    <w:rsid w:val="00925A07"/>
    <w:rsid w:val="0094238F"/>
    <w:rsid w:val="00980BDA"/>
    <w:rsid w:val="00981D31"/>
    <w:rsid w:val="00982210"/>
    <w:rsid w:val="009B2146"/>
    <w:rsid w:val="009C73B9"/>
    <w:rsid w:val="009D0F11"/>
    <w:rsid w:val="009D219B"/>
    <w:rsid w:val="009E2FBD"/>
    <w:rsid w:val="009F61CD"/>
    <w:rsid w:val="00A13B92"/>
    <w:rsid w:val="00A31864"/>
    <w:rsid w:val="00A347E2"/>
    <w:rsid w:val="00A405D5"/>
    <w:rsid w:val="00A531EF"/>
    <w:rsid w:val="00A56381"/>
    <w:rsid w:val="00A60B56"/>
    <w:rsid w:val="00A63ECD"/>
    <w:rsid w:val="00A709F7"/>
    <w:rsid w:val="00AD39D7"/>
    <w:rsid w:val="00AE0E25"/>
    <w:rsid w:val="00AF1221"/>
    <w:rsid w:val="00B11DDE"/>
    <w:rsid w:val="00B20CF0"/>
    <w:rsid w:val="00B30F68"/>
    <w:rsid w:val="00B32624"/>
    <w:rsid w:val="00B3792D"/>
    <w:rsid w:val="00B42A51"/>
    <w:rsid w:val="00B477B2"/>
    <w:rsid w:val="00B56CB4"/>
    <w:rsid w:val="00B74AFD"/>
    <w:rsid w:val="00B809E1"/>
    <w:rsid w:val="00B82379"/>
    <w:rsid w:val="00BB1AFE"/>
    <w:rsid w:val="00BB65B1"/>
    <w:rsid w:val="00BC4F7F"/>
    <w:rsid w:val="00C269EF"/>
    <w:rsid w:val="00C33E85"/>
    <w:rsid w:val="00C408D1"/>
    <w:rsid w:val="00C535BB"/>
    <w:rsid w:val="00C6118F"/>
    <w:rsid w:val="00C618EA"/>
    <w:rsid w:val="00C630BD"/>
    <w:rsid w:val="00CC0EB7"/>
    <w:rsid w:val="00CD00E1"/>
    <w:rsid w:val="00CD470B"/>
    <w:rsid w:val="00D02539"/>
    <w:rsid w:val="00D131BD"/>
    <w:rsid w:val="00D23D7C"/>
    <w:rsid w:val="00D33687"/>
    <w:rsid w:val="00D36C4F"/>
    <w:rsid w:val="00D4410C"/>
    <w:rsid w:val="00D6268F"/>
    <w:rsid w:val="00DC4E8C"/>
    <w:rsid w:val="00DD381B"/>
    <w:rsid w:val="00DD4091"/>
    <w:rsid w:val="00DE3D37"/>
    <w:rsid w:val="00DE5C27"/>
    <w:rsid w:val="00DF4AE0"/>
    <w:rsid w:val="00DF4E03"/>
    <w:rsid w:val="00DF4F6B"/>
    <w:rsid w:val="00E0404C"/>
    <w:rsid w:val="00E41597"/>
    <w:rsid w:val="00E50CA8"/>
    <w:rsid w:val="00E60C4A"/>
    <w:rsid w:val="00EA1EEF"/>
    <w:rsid w:val="00EB342F"/>
    <w:rsid w:val="00EE5FD1"/>
    <w:rsid w:val="00EF40A6"/>
    <w:rsid w:val="00F0466A"/>
    <w:rsid w:val="00F27817"/>
    <w:rsid w:val="00F3028E"/>
    <w:rsid w:val="00F37030"/>
    <w:rsid w:val="00F65050"/>
    <w:rsid w:val="00F97D38"/>
    <w:rsid w:val="00FF2AF6"/>
    <w:rsid w:val="029074C6"/>
    <w:rsid w:val="03E308DA"/>
    <w:rsid w:val="08802A57"/>
    <w:rsid w:val="0C308B1E"/>
    <w:rsid w:val="13259C12"/>
    <w:rsid w:val="13DD5A8F"/>
    <w:rsid w:val="16BBB961"/>
    <w:rsid w:val="1917CEA9"/>
    <w:rsid w:val="1B7DB542"/>
    <w:rsid w:val="1D5AB620"/>
    <w:rsid w:val="1DD49450"/>
    <w:rsid w:val="1F7064B1"/>
    <w:rsid w:val="201679E1"/>
    <w:rsid w:val="20512665"/>
    <w:rsid w:val="2187539C"/>
    <w:rsid w:val="21ECF6C6"/>
    <w:rsid w:val="2271597B"/>
    <w:rsid w:val="23C14C84"/>
    <w:rsid w:val="23C4FF57"/>
    <w:rsid w:val="291F347D"/>
    <w:rsid w:val="29B1E9E0"/>
    <w:rsid w:val="3110E97E"/>
    <w:rsid w:val="33B1EC30"/>
    <w:rsid w:val="35A0C729"/>
    <w:rsid w:val="35AF2640"/>
    <w:rsid w:val="3D924A7F"/>
    <w:rsid w:val="3EFE1F65"/>
    <w:rsid w:val="405E1F79"/>
    <w:rsid w:val="41F9EFDA"/>
    <w:rsid w:val="449796D7"/>
    <w:rsid w:val="4552A584"/>
    <w:rsid w:val="45674325"/>
    <w:rsid w:val="4717BE39"/>
    <w:rsid w:val="476F4848"/>
    <w:rsid w:val="47CF3799"/>
    <w:rsid w:val="4A0CEE4A"/>
    <w:rsid w:val="4BA8BEAB"/>
    <w:rsid w:val="4C67FC38"/>
    <w:rsid w:val="4D7E549D"/>
    <w:rsid w:val="4DF48A00"/>
    <w:rsid w:val="4EE05F6D"/>
    <w:rsid w:val="5095582B"/>
    <w:rsid w:val="50DF4D6A"/>
    <w:rsid w:val="515CF182"/>
    <w:rsid w:val="5218002F"/>
    <w:rsid w:val="52346FED"/>
    <w:rsid w:val="5311EA40"/>
    <w:rsid w:val="53B3D090"/>
    <w:rsid w:val="53E40336"/>
    <w:rsid w:val="54EAA58A"/>
    <w:rsid w:val="551964AB"/>
    <w:rsid w:val="59506504"/>
    <w:rsid w:val="5FEE7883"/>
    <w:rsid w:val="6316D333"/>
    <w:rsid w:val="679B8734"/>
    <w:rsid w:val="688C2AA6"/>
    <w:rsid w:val="69C53153"/>
    <w:rsid w:val="6A71EA24"/>
    <w:rsid w:val="72E1FD54"/>
    <w:rsid w:val="78C5B236"/>
    <w:rsid w:val="78F42B13"/>
    <w:rsid w:val="7A8FFB74"/>
    <w:rsid w:val="7CE6DA82"/>
    <w:rsid w:val="7DCBE1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14B8A1"/>
  <w15:chartTrackingRefBased/>
  <w15:docId w15:val="{40AD1215-2F47-45C2-B5A2-79E06581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sz w:val="22"/>
      <w:szCs w:val="22"/>
      <w:lang w:val="en-GB" w:eastAsia="en-US"/>
    </w:rPr>
  </w:style>
  <w:style w:type="paragraph" w:styleId="Heading1">
    <w:name w:val="heading 1"/>
    <w:basedOn w:val="Normal"/>
    <w:next w:val="Normal"/>
    <w:qFormat/>
    <w:pPr>
      <w:keepNext/>
      <w:spacing w:before="120" w:after="200"/>
      <w:outlineLvl w:val="0"/>
    </w:pPr>
    <w:rPr>
      <w:b/>
      <w:bCs/>
      <w:sz w:val="24"/>
      <w:szCs w:val="24"/>
    </w:rPr>
  </w:style>
  <w:style w:type="paragraph" w:styleId="Heading2">
    <w:name w:val="heading 2"/>
    <w:basedOn w:val="Heading1"/>
    <w:next w:val="Normal"/>
    <w:qFormat/>
    <w:pPr>
      <w:spacing w:before="0"/>
      <w:ind w:left="567" w:hanging="567"/>
      <w:outlineLvl w:val="1"/>
    </w:pPr>
    <w:rPr>
      <w:sz w:val="22"/>
      <w:szCs w:val="22"/>
    </w:rPr>
  </w:style>
  <w:style w:type="paragraph" w:styleId="Heading3">
    <w:name w:val="heading 3"/>
    <w:basedOn w:val="Heading2"/>
    <w:next w:val="Normal"/>
    <w:qFormat/>
    <w:pPr>
      <w:outlineLvl w:val="2"/>
    </w:pPr>
    <w:rPr>
      <w:b w:val="0"/>
      <w:bCs w:val="0"/>
    </w:rPr>
  </w:style>
  <w:style w:type="paragraph" w:styleId="Heading4">
    <w:name w:val="heading 4"/>
    <w:basedOn w:val="Heading3"/>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style>
  <w:style w:type="paragraph" w:styleId="Footer">
    <w:name w:val="footer"/>
    <w:basedOn w:val="Normal"/>
    <w:pPr>
      <w:tabs>
        <w:tab w:val="center" w:pos="4820"/>
        <w:tab w:val="right" w:pos="9639"/>
      </w:tabs>
    </w:pPr>
  </w:style>
  <w:style w:type="paragraph" w:customStyle="1" w:styleId="ISOMB">
    <w:name w:val="ISO_MB"/>
    <w:basedOn w:val="Normal"/>
    <w:pPr>
      <w:spacing w:before="210" w:line="210" w:lineRule="exact"/>
      <w:jc w:val="left"/>
    </w:pPr>
    <w:rPr>
      <w:sz w:val="18"/>
      <w:szCs w:val="18"/>
    </w:rPr>
  </w:style>
  <w:style w:type="paragraph" w:customStyle="1" w:styleId="ISOClause">
    <w:name w:val="ISO_Clause"/>
    <w:basedOn w:val="Normal"/>
    <w:pPr>
      <w:spacing w:before="210" w:line="210" w:lineRule="exact"/>
      <w:jc w:val="left"/>
    </w:pPr>
    <w:rPr>
      <w:sz w:val="18"/>
      <w:szCs w:val="18"/>
    </w:rPr>
  </w:style>
  <w:style w:type="paragraph" w:customStyle="1" w:styleId="ISOParagraph">
    <w:name w:val="ISO_Paragraph"/>
    <w:basedOn w:val="Normal"/>
    <w:pPr>
      <w:spacing w:before="210" w:line="210" w:lineRule="exact"/>
      <w:jc w:val="left"/>
    </w:pPr>
    <w:rPr>
      <w:sz w:val="18"/>
      <w:szCs w:val="18"/>
    </w:rPr>
  </w:style>
  <w:style w:type="character" w:styleId="PageNumber">
    <w:name w:val="page number"/>
    <w:basedOn w:val="DefaultParagraphFont"/>
    <w:rPr>
      <w:sz w:val="20"/>
      <w:szCs w:val="20"/>
    </w:rPr>
  </w:style>
  <w:style w:type="paragraph" w:customStyle="1" w:styleId="ISOCommType">
    <w:name w:val="ISO_Comm_Type"/>
    <w:basedOn w:val="Normal"/>
    <w:pPr>
      <w:spacing w:before="210" w:line="210" w:lineRule="exact"/>
      <w:jc w:val="left"/>
    </w:pPr>
    <w:rPr>
      <w:sz w:val="18"/>
      <w:szCs w:val="18"/>
    </w:rPr>
  </w:style>
  <w:style w:type="paragraph" w:customStyle="1" w:styleId="ISOComments">
    <w:name w:val="ISO_Comments"/>
    <w:basedOn w:val="Normal"/>
    <w:pPr>
      <w:spacing w:before="210" w:line="210" w:lineRule="exact"/>
      <w:jc w:val="left"/>
    </w:pPr>
    <w:rPr>
      <w:sz w:val="18"/>
      <w:szCs w:val="18"/>
    </w:rPr>
  </w:style>
  <w:style w:type="paragraph" w:customStyle="1" w:styleId="ISOChange">
    <w:name w:val="ISO_Change"/>
    <w:basedOn w:val="Normal"/>
    <w:pPr>
      <w:spacing w:before="210" w:line="210" w:lineRule="exact"/>
      <w:jc w:val="left"/>
    </w:pPr>
    <w:rPr>
      <w:sz w:val="18"/>
      <w:szCs w:val="18"/>
    </w:rPr>
  </w:style>
  <w:style w:type="paragraph" w:customStyle="1" w:styleId="ISOSecretObservations">
    <w:name w:val="ISO_Secret_Observations"/>
    <w:basedOn w:val="Normal"/>
    <w:pPr>
      <w:spacing w:before="210" w:line="210" w:lineRule="exact"/>
      <w:jc w:val="left"/>
    </w:pPr>
    <w:rPr>
      <w:sz w:val="18"/>
      <w:szCs w:val="18"/>
    </w:rPr>
  </w:style>
  <w:style w:type="character" w:customStyle="1" w:styleId="MTEquationSection">
    <w:name w:val="MTEquationSection"/>
    <w:basedOn w:val="DefaultParagraphFont"/>
    <w:rPr>
      <w:color w:val="FF0000"/>
      <w:sz w:val="16"/>
      <w:szCs w:val="16"/>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customStyle="1" w:styleId="mtequationsection0">
    <w:name w:val="mtequationsection"/>
    <w:basedOn w:val="DefaultParagraphFont"/>
  </w:style>
  <w:style w:type="paragraph" w:customStyle="1" w:styleId="RegHead2">
    <w:name w:val="RegHead2"/>
    <w:basedOn w:val="Normal"/>
    <w:next w:val="Normal"/>
    <w:rsid w:val="005B1074"/>
    <w:pPr>
      <w:keepNext/>
      <w:numPr>
        <w:ilvl w:val="1"/>
        <w:numId w:val="1"/>
      </w:numPr>
      <w:spacing w:before="180"/>
      <w:jc w:val="center"/>
    </w:pPr>
    <w:rPr>
      <w:rFonts w:ascii="Times New Roman" w:hAnsi="Times New Roman" w:cs="Times New Roman"/>
      <w:b/>
      <w:szCs w:val="20"/>
    </w:rPr>
  </w:style>
  <w:style w:type="paragraph" w:customStyle="1" w:styleId="RegHead3">
    <w:name w:val="RegHead3"/>
    <w:basedOn w:val="Normal"/>
    <w:next w:val="Normal"/>
    <w:rsid w:val="005B1074"/>
    <w:pPr>
      <w:numPr>
        <w:ilvl w:val="2"/>
        <w:numId w:val="1"/>
      </w:numPr>
      <w:spacing w:before="180"/>
      <w:jc w:val="center"/>
    </w:pPr>
    <w:rPr>
      <w:rFonts w:ascii="Times New Roman" w:hAnsi="Times New Roman" w:cs="Times New Roman"/>
      <w:szCs w:val="20"/>
      <w:u w:val="single"/>
    </w:rPr>
  </w:style>
  <w:style w:type="paragraph" w:customStyle="1" w:styleId="RegPara">
    <w:name w:val="RegPara"/>
    <w:basedOn w:val="Normal"/>
    <w:rsid w:val="005B1074"/>
    <w:pPr>
      <w:numPr>
        <w:ilvl w:val="3"/>
        <w:numId w:val="1"/>
      </w:numPr>
      <w:spacing w:before="180"/>
      <w:jc w:val="left"/>
    </w:pPr>
    <w:rPr>
      <w:rFonts w:ascii="Times New Roman" w:hAnsi="Times New Roman" w:cs="Times New Roman"/>
      <w:szCs w:val="20"/>
      <w:lang w:eastAsia="de-DE"/>
    </w:rPr>
  </w:style>
  <w:style w:type="paragraph" w:customStyle="1" w:styleId="StyleRegHead111pt">
    <w:name w:val="Style RegHead1 + 11 pt"/>
    <w:basedOn w:val="Normal"/>
    <w:rsid w:val="005B1074"/>
    <w:pPr>
      <w:keepNext/>
      <w:numPr>
        <w:numId w:val="1"/>
      </w:numPr>
      <w:spacing w:before="180"/>
      <w:jc w:val="center"/>
    </w:pPr>
    <w:rPr>
      <w:rFonts w:ascii="Times New Roman Bold" w:hAnsi="Times New Roman Bold" w:cs="Times New Roman Bold"/>
      <w:b/>
    </w:rPr>
  </w:style>
  <w:style w:type="character" w:styleId="Hyperlink">
    <w:name w:val="Hyperlink"/>
    <w:basedOn w:val="DefaultParagraphFont"/>
    <w:rsid w:val="00316252"/>
    <w:rPr>
      <w:color w:val="0563C1" w:themeColor="hyperlink"/>
      <w:u w:val="single"/>
    </w:rPr>
  </w:style>
  <w:style w:type="character" w:styleId="UnresolvedMention">
    <w:name w:val="Unresolved Mention"/>
    <w:basedOn w:val="DefaultParagraphFont"/>
    <w:uiPriority w:val="99"/>
    <w:semiHidden/>
    <w:unhideWhenUsed/>
    <w:rsid w:val="00316252"/>
    <w:rPr>
      <w:color w:val="605E5C"/>
      <w:shd w:val="clear" w:color="auto" w:fill="E1DFDD"/>
    </w:rPr>
  </w:style>
  <w:style w:type="character" w:customStyle="1" w:styleId="fontstyle01">
    <w:name w:val="fontstyle01"/>
    <w:basedOn w:val="DefaultParagraphFont"/>
    <w:rsid w:val="00563708"/>
    <w:rPr>
      <w:rFonts w:ascii="Arial" w:hAnsi="Arial" w:cs="Arial" w:hint="default"/>
      <w:b w:val="0"/>
      <w:bCs w:val="0"/>
      <w:i w:val="0"/>
      <w:iCs w:val="0"/>
      <w:color w:val="000000"/>
      <w:sz w:val="22"/>
      <w:szCs w:val="22"/>
    </w:rPr>
  </w:style>
  <w:style w:type="character" w:customStyle="1" w:styleId="fontstyle21">
    <w:name w:val="fontstyle21"/>
    <w:basedOn w:val="DefaultParagraphFont"/>
    <w:rsid w:val="00563708"/>
    <w:rPr>
      <w:rFonts w:ascii="Arial-ItalicMT" w:hAnsi="Arial-ItalicMT" w:hint="default"/>
      <w:b w:val="0"/>
      <w:bCs w:val="0"/>
      <w:i/>
      <w:iCs/>
      <w:color w:val="000000"/>
      <w:sz w:val="22"/>
      <w:szCs w:val="22"/>
    </w:rPr>
  </w:style>
  <w:style w:type="paragraph" w:styleId="Revision">
    <w:name w:val="Revision"/>
    <w:hidden/>
    <w:uiPriority w:val="99"/>
    <w:semiHidden/>
    <w:rsid w:val="00F3028E"/>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eancooking.org/funding-opps/invitation-to-undertake-detailed-analysis-of-the-carbon-markets-landscape-for-clean-cooking-identification-of-the-risks-and-opportunities-in-keny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ea.org/reports/a-vision-for-clean-cooking-access-for-al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0F8A24BDA156408750DD73BBCB35FD" ma:contentTypeVersion="17" ma:contentTypeDescription="Create a new document." ma:contentTypeScope="" ma:versionID="5071872689b5e05343ff4c5cb10d695e">
  <xsd:schema xmlns:xsd="http://www.w3.org/2001/XMLSchema" xmlns:xs="http://www.w3.org/2001/XMLSchema" xmlns:p="http://schemas.microsoft.com/office/2006/metadata/properties" xmlns:ns2="269cd23b-b011-4b0e-8b15-579f85438ccf" xmlns:ns3="4cf0473a-18b3-4c49-a73d-d56e1aebdd8d" targetNamespace="http://schemas.microsoft.com/office/2006/metadata/properties" ma:root="true" ma:fieldsID="9f4eb549c358b9ac96ec064c867e4a9e" ns2:_="" ns3:_="">
    <xsd:import namespace="269cd23b-b011-4b0e-8b15-579f85438ccf"/>
    <xsd:import namespace="4cf0473a-18b3-4c49-a73d-d56e1aebdd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cd23b-b011-4b0e-8b15-579f85438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7db257-020d-4dec-b2d7-25c3c37c6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0473a-18b3-4c49-a73d-d56e1aebdd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059fba-4ea3-4158-bc46-18c3ea93b9a8}" ma:internalName="TaxCatchAll" ma:showField="CatchAllData" ma:web="4cf0473a-18b3-4c49-a73d-d56e1aebdd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f0473a-18b3-4c49-a73d-d56e1aebdd8d" xsi:nil="true"/>
    <lcf76f155ced4ddcb4097134ff3c332f xmlns="269cd23b-b011-4b0e-8b15-579f85438c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5BDDF1-43CE-4F54-A2D0-107FA1FB1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cd23b-b011-4b0e-8b15-579f85438ccf"/>
    <ds:schemaRef ds:uri="4cf0473a-18b3-4c49-a73d-d56e1aebd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99CDAC-AD2E-41D4-9D74-51CAC11DFC7D}">
  <ds:schemaRefs>
    <ds:schemaRef ds:uri="http://schemas.microsoft.com/sharepoint/v3/contenttype/forms"/>
  </ds:schemaRefs>
</ds:datastoreItem>
</file>

<file path=customXml/itemProps3.xml><?xml version="1.0" encoding="utf-8"?>
<ds:datastoreItem xmlns:ds="http://schemas.openxmlformats.org/officeDocument/2006/customXml" ds:itemID="{956BB2CA-589C-4437-A969-1BF9BFF8EF63}">
  <ds:schemaRefs>
    <ds:schemaRef ds:uri="http://schemas.microsoft.com/office/2006/metadata/properties"/>
    <ds:schemaRef ds:uri="http://schemas.microsoft.com/office/infopath/2007/PartnerControls"/>
    <ds:schemaRef ds:uri="4cf0473a-18b3-4c49-a73d-d56e1aebdd8d"/>
    <ds:schemaRef ds:uri="269cd23b-b011-4b0e-8b15-579f85438cc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1861</Words>
  <Characters>10609</Characters>
  <Application>Microsoft Office Word</Application>
  <DocSecurity>0</DocSecurity>
  <Lines>88</Lines>
  <Paragraphs>24</Paragraphs>
  <ScaleCrop>false</ScaleCrop>
  <Company>ISO</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subject/>
  <dc:creator>dow</dc:creator>
  <cp:keywords/>
  <dc:description>FORM (ISO)</dc:description>
  <cp:lastModifiedBy>Edwin Cogho</cp:lastModifiedBy>
  <cp:revision>143</cp:revision>
  <cp:lastPrinted>2001-10-25T21:04:00Z</cp:lastPrinted>
  <dcterms:created xsi:type="dcterms:W3CDTF">2023-10-25T21:27:00Z</dcterms:created>
  <dcterms:modified xsi:type="dcterms:W3CDTF">2023-11-10T07:50:00Z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ContentTypeId">
    <vt:lpwstr>0x010100B00F8A24BDA156408750DD73BBCB35FD</vt:lpwstr>
  </property>
  <property fmtid="{D5CDD505-2E9C-101B-9397-08002B2CF9AE}" pid="4" name="MediaServiceImageTags">
    <vt:lpwstr/>
  </property>
</Properties>
</file>