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1A0DF782" w:rsidR="00E60C4A" w:rsidRPr="00D30650" w:rsidRDefault="00E60C4A" w:rsidP="00E60C4A">
      <w:pPr>
        <w:pStyle w:val="StyleRegHead111pt"/>
        <w:numPr>
          <w:ilvl w:val="0"/>
          <w:numId w:val="0"/>
        </w:numPr>
        <w:jc w:val="left"/>
      </w:pPr>
      <w:r w:rsidRPr="00D30650">
        <w:t>Name of submitte</w:t>
      </w:r>
      <w:r w:rsidR="00D30650">
        <w:t>r:  Fundo de E</w:t>
      </w:r>
      <w:r w:rsidR="00D30650" w:rsidRPr="00D30650">
        <w:t xml:space="preserve">nergia </w:t>
      </w:r>
      <w:r w:rsidR="00D30650">
        <w:t xml:space="preserve">– Mozambique </w:t>
      </w:r>
    </w:p>
    <w:p w14:paraId="1539A45C" w14:textId="430C86AA" w:rsidR="00E60C4A" w:rsidRPr="00D30650" w:rsidRDefault="00E60C4A" w:rsidP="00E60C4A">
      <w:pPr>
        <w:pStyle w:val="StyleRegHead111pt"/>
        <w:numPr>
          <w:ilvl w:val="0"/>
          <w:numId w:val="0"/>
        </w:numPr>
        <w:jc w:val="left"/>
      </w:pPr>
      <w:r w:rsidRPr="00D30650">
        <w:t>Affiliated organization of the submitter</w:t>
      </w:r>
      <w:r w:rsidR="006D0849" w:rsidRPr="00D30650">
        <w:t xml:space="preserve"> (if any)</w:t>
      </w:r>
      <w:r w:rsidRPr="00D30650">
        <w:t>: _________________________</w:t>
      </w:r>
    </w:p>
    <w:p w14:paraId="5F63183D" w14:textId="2C6C7541" w:rsidR="00E60C4A" w:rsidRPr="007F243D" w:rsidRDefault="00E60C4A" w:rsidP="00D30650">
      <w:pPr>
        <w:pStyle w:val="StyleRegHead111pt"/>
        <w:numPr>
          <w:ilvl w:val="0"/>
          <w:numId w:val="0"/>
        </w:numPr>
        <w:spacing w:line="480" w:lineRule="auto"/>
        <w:jc w:val="left"/>
      </w:pPr>
      <w:r w:rsidRPr="00D30650">
        <w:t>Contact email of submitter</w:t>
      </w:r>
      <w:r w:rsidR="00D30650" w:rsidRPr="00D30650">
        <w:t>: minaxichauque@funae.co.mz</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2"/>
        <w:gridCol w:w="1080"/>
        <w:gridCol w:w="900"/>
        <w:gridCol w:w="1980"/>
        <w:gridCol w:w="5040"/>
        <w:gridCol w:w="4009"/>
        <w:gridCol w:w="1338"/>
      </w:tblGrid>
      <w:tr w:rsidR="00863150" w14:paraId="44974AB3"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080"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900"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1980"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5040"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009"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r>
              <w:rPr>
                <w:b/>
                <w:bCs/>
                <w:sz w:val="16"/>
                <w:szCs w:val="16"/>
              </w:rPr>
              <w:t>Para No./</w:t>
            </w:r>
            <w:r>
              <w:rPr>
                <w:b/>
                <w:bCs/>
                <w:sz w:val="16"/>
                <w:szCs w:val="16"/>
              </w:rPr>
              <w:br/>
              <w:t>Annex / Figure / Table</w:t>
            </w:r>
          </w:p>
        </w:tc>
        <w:tc>
          <w:tcPr>
            <w:tcW w:w="900"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1980"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r>
              <w:rPr>
                <w:rStyle w:val="PageNumber"/>
                <w:b/>
                <w:bCs/>
                <w:sz w:val="16"/>
                <w:szCs w:val="16"/>
              </w:rPr>
              <w:t>ge</w:t>
            </w:r>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r>
              <w:rPr>
                <w:rStyle w:val="PageNumber"/>
                <w:b/>
                <w:bCs/>
                <w:sz w:val="16"/>
                <w:szCs w:val="16"/>
              </w:rPr>
              <w:t>te</w:t>
            </w:r>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5040"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009"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0B590D" w14:paraId="1DABCE09"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1DE1019C" w14:textId="273E788A" w:rsidR="000B590D" w:rsidRDefault="0002147D" w:rsidP="0002147D">
            <w:pPr>
              <w:keepLines/>
              <w:spacing w:before="40" w:after="40" w:line="190" w:lineRule="exact"/>
              <w:rPr>
                <w:b/>
                <w:bCs/>
                <w:sz w:val="16"/>
                <w:szCs w:val="16"/>
              </w:rPr>
            </w:pPr>
            <w:r>
              <w:rPr>
                <w:b/>
                <w:bCs/>
                <w:sz w:val="16"/>
                <w:szCs w:val="16"/>
              </w:rPr>
              <w:t>3</w:t>
            </w:r>
          </w:p>
        </w:tc>
        <w:tc>
          <w:tcPr>
            <w:tcW w:w="1080" w:type="dxa"/>
            <w:tcBorders>
              <w:top w:val="single" w:sz="6" w:space="0" w:color="auto"/>
              <w:left w:val="single" w:sz="6" w:space="0" w:color="auto"/>
              <w:bottom w:val="single" w:sz="6" w:space="0" w:color="auto"/>
              <w:right w:val="single" w:sz="6" w:space="0" w:color="auto"/>
            </w:tcBorders>
          </w:tcPr>
          <w:p w14:paraId="5C076DD9" w14:textId="649BC152" w:rsidR="000B590D" w:rsidRDefault="0002147D" w:rsidP="000B590D">
            <w:pPr>
              <w:keepLines/>
              <w:spacing w:before="40" w:after="40" w:line="190" w:lineRule="exact"/>
              <w:jc w:val="center"/>
              <w:rPr>
                <w:b/>
                <w:bCs/>
                <w:sz w:val="16"/>
                <w:szCs w:val="16"/>
              </w:rPr>
            </w:pPr>
            <w:r>
              <w:rPr>
                <w:b/>
                <w:bCs/>
                <w:sz w:val="16"/>
                <w:szCs w:val="16"/>
              </w:rPr>
              <w:t>4</w:t>
            </w:r>
          </w:p>
        </w:tc>
        <w:tc>
          <w:tcPr>
            <w:tcW w:w="900" w:type="dxa"/>
            <w:tcBorders>
              <w:top w:val="single" w:sz="6" w:space="0" w:color="auto"/>
              <w:left w:val="single" w:sz="6" w:space="0" w:color="auto"/>
              <w:bottom w:val="single" w:sz="6" w:space="0" w:color="auto"/>
              <w:right w:val="single" w:sz="6" w:space="0" w:color="auto"/>
            </w:tcBorders>
          </w:tcPr>
          <w:p w14:paraId="240E162B" w14:textId="070470ED" w:rsidR="000B590D" w:rsidRDefault="0002147D" w:rsidP="000B590D">
            <w:pPr>
              <w:keepLines/>
              <w:spacing w:before="40" w:after="40" w:line="190" w:lineRule="exact"/>
              <w:jc w:val="center"/>
              <w:rPr>
                <w:b/>
                <w:bCs/>
                <w:sz w:val="16"/>
                <w:szCs w:val="16"/>
              </w:rPr>
            </w:pPr>
            <w:r>
              <w:rPr>
                <w:b/>
                <w:bCs/>
                <w:sz w:val="16"/>
                <w:szCs w:val="16"/>
              </w:rPr>
              <w:t>24</w:t>
            </w:r>
          </w:p>
        </w:tc>
        <w:tc>
          <w:tcPr>
            <w:tcW w:w="1980" w:type="dxa"/>
            <w:tcBorders>
              <w:top w:val="single" w:sz="6" w:space="0" w:color="auto"/>
              <w:left w:val="single" w:sz="6" w:space="0" w:color="auto"/>
              <w:bottom w:val="single" w:sz="6" w:space="0" w:color="auto"/>
              <w:right w:val="single" w:sz="6" w:space="0" w:color="auto"/>
            </w:tcBorders>
          </w:tcPr>
          <w:p w14:paraId="4B753E85" w14:textId="3331DBD0" w:rsidR="000B590D" w:rsidRDefault="000B590D" w:rsidP="000B590D">
            <w:pPr>
              <w:keepLines/>
              <w:spacing w:before="40" w:after="40" w:line="190" w:lineRule="exact"/>
              <w:jc w:val="center"/>
              <w:rPr>
                <w:b/>
                <w:bCs/>
                <w:sz w:val="16"/>
                <w:szCs w:val="16"/>
              </w:rPr>
            </w:pPr>
            <w:r>
              <w:rPr>
                <w:b/>
                <w:bCs/>
                <w:sz w:val="16"/>
                <w:szCs w:val="16"/>
              </w:rPr>
              <w:t>ge</w:t>
            </w:r>
          </w:p>
        </w:tc>
        <w:tc>
          <w:tcPr>
            <w:tcW w:w="5040" w:type="dxa"/>
            <w:tcBorders>
              <w:top w:val="single" w:sz="6" w:space="0" w:color="auto"/>
              <w:left w:val="single" w:sz="6" w:space="0" w:color="auto"/>
              <w:bottom w:val="single" w:sz="6" w:space="0" w:color="auto"/>
              <w:right w:val="single" w:sz="6" w:space="0" w:color="auto"/>
            </w:tcBorders>
          </w:tcPr>
          <w:p w14:paraId="25C253D3" w14:textId="0833B04D"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 xml:space="preserve">The Executive Board (EB) of the Clean Development Mechanism (CDM) has taken a commendable step in enhancing the process for estimating non-renewable biomass, aiming to minimize uncertainties in greenhouse gas (GHG) avoidance calculations for clean cooking and water purification projects. </w:t>
            </w:r>
            <w:r w:rsidR="00992B2D">
              <w:rPr>
                <w:rFonts w:eastAsia="Arial"/>
                <w:sz w:val="16"/>
                <w:szCs w:val="16"/>
              </w:rPr>
              <w:t>T</w:t>
            </w:r>
            <w:r w:rsidRPr="00823BBF">
              <w:rPr>
                <w:rFonts w:eastAsia="Arial"/>
                <w:sz w:val="16"/>
                <w:szCs w:val="16"/>
              </w:rPr>
              <w:t xml:space="preserve">he extensive use of biomass in Africa for domestic purposes severely impacts the continent's natural ecosystems and contributes notably to global GHG and Black Carbon emissions. Clean cooking is integral to many African countries' national climate action plans, </w:t>
            </w:r>
            <w:r w:rsidR="0054016D">
              <w:rPr>
                <w:rFonts w:eastAsia="Arial"/>
                <w:sz w:val="16"/>
                <w:szCs w:val="16"/>
              </w:rPr>
              <w:t xml:space="preserve">with many Host Countries </w:t>
            </w:r>
            <w:r w:rsidR="000C7750">
              <w:rPr>
                <w:rFonts w:eastAsia="Arial"/>
                <w:sz w:val="16"/>
                <w:szCs w:val="16"/>
              </w:rPr>
              <w:t xml:space="preserve">actively establishing </w:t>
            </w:r>
            <w:r w:rsidRPr="00823BBF">
              <w:rPr>
                <w:rFonts w:eastAsia="Arial"/>
                <w:sz w:val="16"/>
                <w:szCs w:val="16"/>
              </w:rPr>
              <w:t>regulatory frameworks for carbon offset trading to support both compliance and voluntary markets.</w:t>
            </w:r>
          </w:p>
          <w:p w14:paraId="2767619C" w14:textId="77777777" w:rsidR="00B52359" w:rsidRDefault="00823BBF" w:rsidP="00823BBF">
            <w:pPr>
              <w:keepLines/>
              <w:spacing w:before="40" w:after="40" w:line="190" w:lineRule="exact"/>
              <w:jc w:val="left"/>
              <w:rPr>
                <w:rFonts w:eastAsia="Arial"/>
                <w:sz w:val="16"/>
                <w:szCs w:val="16"/>
              </w:rPr>
            </w:pPr>
            <w:r w:rsidRPr="00823BBF">
              <w:rPr>
                <w:rFonts w:eastAsia="Arial"/>
                <w:sz w:val="16"/>
                <w:szCs w:val="16"/>
              </w:rPr>
              <w:t xml:space="preserve">However, the adoption of the Modelling </w:t>
            </w:r>
            <w:r w:rsidR="00B2553F">
              <w:rPr>
                <w:rFonts w:eastAsia="Arial"/>
                <w:sz w:val="16"/>
                <w:szCs w:val="16"/>
              </w:rPr>
              <w:t>F</w:t>
            </w:r>
            <w:r w:rsidRPr="00823BBF">
              <w:rPr>
                <w:rFonts w:eastAsia="Arial"/>
                <w:sz w:val="16"/>
                <w:szCs w:val="16"/>
              </w:rPr>
              <w:t xml:space="preserve">uelwood </w:t>
            </w:r>
            <w:r w:rsidR="00B2553F">
              <w:rPr>
                <w:rFonts w:eastAsia="Arial"/>
                <w:sz w:val="16"/>
                <w:szCs w:val="16"/>
              </w:rPr>
              <w:t>S</w:t>
            </w:r>
            <w:r w:rsidRPr="00823BBF">
              <w:rPr>
                <w:rFonts w:eastAsia="Arial"/>
                <w:sz w:val="16"/>
                <w:szCs w:val="16"/>
              </w:rPr>
              <w:t xml:space="preserve">avings </w:t>
            </w:r>
            <w:r w:rsidR="00B2553F">
              <w:rPr>
                <w:rFonts w:eastAsia="Arial"/>
                <w:sz w:val="16"/>
                <w:szCs w:val="16"/>
              </w:rPr>
              <w:t>S</w:t>
            </w:r>
            <w:r w:rsidRPr="00823BBF">
              <w:rPr>
                <w:rFonts w:eastAsia="Arial"/>
                <w:sz w:val="16"/>
                <w:szCs w:val="16"/>
              </w:rPr>
              <w:t xml:space="preserve">cenarios (MoFuSS) tool, still in </w:t>
            </w:r>
            <w:r w:rsidR="00B2553F">
              <w:rPr>
                <w:rFonts w:eastAsia="Arial"/>
                <w:sz w:val="16"/>
                <w:szCs w:val="16"/>
              </w:rPr>
              <w:t xml:space="preserve">varied stages of </w:t>
            </w:r>
            <w:r w:rsidRPr="00823BBF">
              <w:rPr>
                <w:rFonts w:eastAsia="Arial"/>
                <w:sz w:val="16"/>
                <w:szCs w:val="16"/>
              </w:rPr>
              <w:t xml:space="preserve">development since 2011, requires careful consideration. The tool, which is complex and GIS-based, has only been </w:t>
            </w:r>
            <w:r w:rsidR="00FF7FD4" w:rsidRPr="00823BBF">
              <w:rPr>
                <w:rFonts w:eastAsia="Arial"/>
                <w:sz w:val="16"/>
                <w:szCs w:val="16"/>
              </w:rPr>
              <w:t>analysed</w:t>
            </w:r>
            <w:r w:rsidRPr="00823BBF">
              <w:rPr>
                <w:rFonts w:eastAsia="Arial"/>
                <w:sz w:val="16"/>
                <w:szCs w:val="16"/>
              </w:rPr>
              <w:t xml:space="preserve"> for 43 African countries, with further studies for Asian and South American markets pending. </w:t>
            </w:r>
          </w:p>
          <w:p w14:paraId="2B16984D" w14:textId="0C665C76"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 xml:space="preserve">African Host Countries </w:t>
            </w:r>
            <w:r w:rsidR="00D8241D">
              <w:rPr>
                <w:rFonts w:eastAsia="Arial"/>
                <w:sz w:val="16"/>
                <w:szCs w:val="16"/>
              </w:rPr>
              <w:t xml:space="preserve">still </w:t>
            </w:r>
            <w:r w:rsidRPr="00823BBF">
              <w:rPr>
                <w:rFonts w:eastAsia="Arial"/>
                <w:sz w:val="16"/>
                <w:szCs w:val="16"/>
              </w:rPr>
              <w:t xml:space="preserve">need substantial training to utilize MoFuSS effectively, align it with their GHG inventories, and reconcile any discrepancies between the tool's data and their own. Without dedicated training, these countries </w:t>
            </w:r>
            <w:r w:rsidR="00D8241D">
              <w:rPr>
                <w:rFonts w:eastAsia="Arial"/>
                <w:sz w:val="16"/>
                <w:szCs w:val="16"/>
              </w:rPr>
              <w:t>will</w:t>
            </w:r>
            <w:r w:rsidRPr="00823BBF">
              <w:rPr>
                <w:rFonts w:eastAsia="Arial"/>
                <w:sz w:val="16"/>
                <w:szCs w:val="16"/>
              </w:rPr>
              <w:t xml:space="preserve"> be forced to accept default values without fully understanding them, potentially leading to future disputes.</w:t>
            </w:r>
          </w:p>
          <w:p w14:paraId="1CDD82DD" w14:textId="77777777" w:rsidR="00823BBF" w:rsidRPr="00823BBF" w:rsidRDefault="00823BBF" w:rsidP="00823BBF">
            <w:pPr>
              <w:keepLines/>
              <w:spacing w:before="40" w:after="40" w:line="190" w:lineRule="exact"/>
              <w:jc w:val="left"/>
              <w:rPr>
                <w:rFonts w:eastAsia="Arial"/>
                <w:sz w:val="16"/>
                <w:szCs w:val="16"/>
              </w:rPr>
            </w:pPr>
          </w:p>
          <w:p w14:paraId="6BEC586B" w14:textId="2C67E13E" w:rsidR="0093131A" w:rsidRPr="000B590D" w:rsidRDefault="00823BBF" w:rsidP="00823BBF">
            <w:pPr>
              <w:keepLines/>
              <w:spacing w:before="40" w:after="40" w:line="190" w:lineRule="exact"/>
              <w:jc w:val="left"/>
              <w:rPr>
                <w:sz w:val="16"/>
                <w:szCs w:val="16"/>
              </w:rPr>
            </w:pPr>
            <w:r w:rsidRPr="00823BBF">
              <w:rPr>
                <w:rFonts w:eastAsia="Arial"/>
                <w:sz w:val="16"/>
                <w:szCs w:val="16"/>
              </w:rPr>
              <w:lastRenderedPageBreak/>
              <w:t>The push for universal clean cooking access by 2030 requires significant investment, far exceeding the current financial commitments. Carbon market</w:t>
            </w:r>
            <w:r w:rsidR="00D8241D">
              <w:rPr>
                <w:rFonts w:eastAsia="Arial"/>
                <w:sz w:val="16"/>
                <w:szCs w:val="16"/>
              </w:rPr>
              <w:t>s</w:t>
            </w:r>
            <w:r w:rsidRPr="00823BBF">
              <w:rPr>
                <w:rFonts w:eastAsia="Arial"/>
                <w:sz w:val="16"/>
                <w:szCs w:val="16"/>
              </w:rPr>
              <w:t xml:space="preserve"> funding </w:t>
            </w:r>
            <w:r w:rsidR="00D8241D">
              <w:rPr>
                <w:rFonts w:eastAsia="Arial"/>
                <w:sz w:val="16"/>
                <w:szCs w:val="16"/>
              </w:rPr>
              <w:t>are</w:t>
            </w:r>
            <w:r w:rsidRPr="00823BBF">
              <w:rPr>
                <w:rFonts w:eastAsia="Arial"/>
                <w:sz w:val="16"/>
                <w:szCs w:val="16"/>
              </w:rPr>
              <w:t xml:space="preserve"> crucial for expanding clean cooking access, particularly in</w:t>
            </w:r>
            <w:r w:rsidR="00D8241D">
              <w:rPr>
                <w:rFonts w:eastAsia="Arial"/>
                <w:sz w:val="16"/>
                <w:szCs w:val="16"/>
              </w:rPr>
              <w:t xml:space="preserve"> vulnerable, </w:t>
            </w:r>
            <w:r w:rsidRPr="00823BBF">
              <w:rPr>
                <w:rFonts w:eastAsia="Arial"/>
                <w:sz w:val="16"/>
                <w:szCs w:val="16"/>
              </w:rPr>
              <w:t xml:space="preserve"> poor and rural areas in Sub-Saharan Africa and Southeast Asia. The fNRB (fraction of Non-Renewable Biomass) calculations significantly influence credit issuance, which is vital for financing and validating cookstove projects. Any adjustments to the fNRB to prevent over-crediting must be carefully balanced to avoid under-crediting, which could hinder private sector engagement in addressing the widespread use of non-renewable biomass. It is urged that the CDM MP &amp; EB</w:t>
            </w:r>
            <w:r w:rsidR="00D8241D">
              <w:rPr>
                <w:rFonts w:eastAsia="Arial"/>
                <w:sz w:val="16"/>
                <w:szCs w:val="16"/>
              </w:rPr>
              <w:t xml:space="preserve"> must</w:t>
            </w:r>
            <w:r w:rsidRPr="00823BBF">
              <w:rPr>
                <w:rFonts w:eastAsia="Arial"/>
                <w:sz w:val="16"/>
                <w:szCs w:val="16"/>
              </w:rPr>
              <w:t xml:space="preserve"> provide comprehensive capacity building and prolong the public consultation period to allow African Host</w:t>
            </w:r>
            <w:r w:rsidR="00D8241D">
              <w:rPr>
                <w:rFonts w:eastAsia="Arial"/>
                <w:sz w:val="16"/>
                <w:szCs w:val="16"/>
              </w:rPr>
              <w:t xml:space="preserve"> (including Mozambique)</w:t>
            </w:r>
            <w:r w:rsidRPr="00823BBF">
              <w:rPr>
                <w:rFonts w:eastAsia="Arial"/>
                <w:sz w:val="16"/>
                <w:szCs w:val="16"/>
              </w:rPr>
              <w:t xml:space="preserve"> countries ample opportunity to contribute their </w:t>
            </w:r>
            <w:r w:rsidR="008F488D" w:rsidRPr="00823BBF">
              <w:rPr>
                <w:rFonts w:eastAsia="Arial"/>
                <w:sz w:val="16"/>
                <w:szCs w:val="16"/>
              </w:rPr>
              <w:t>insights.</w:t>
            </w:r>
          </w:p>
        </w:tc>
        <w:tc>
          <w:tcPr>
            <w:tcW w:w="4009" w:type="dxa"/>
            <w:tcBorders>
              <w:top w:val="single" w:sz="6" w:space="0" w:color="auto"/>
              <w:left w:val="single" w:sz="6" w:space="0" w:color="auto"/>
              <w:bottom w:val="single" w:sz="6" w:space="0" w:color="auto"/>
              <w:right w:val="single" w:sz="6" w:space="0" w:color="auto"/>
            </w:tcBorders>
          </w:tcPr>
          <w:p w14:paraId="146964AA" w14:textId="5F9B912E" w:rsidR="000B590D" w:rsidRDefault="000B590D" w:rsidP="000B590D">
            <w:pPr>
              <w:keepLines/>
              <w:spacing w:before="40" w:after="40" w:line="190" w:lineRule="exact"/>
              <w:jc w:val="left"/>
              <w:rPr>
                <w:rFonts w:eastAsia="Arial"/>
                <w:sz w:val="16"/>
                <w:szCs w:val="16"/>
              </w:rPr>
            </w:pPr>
            <w:r w:rsidRPr="6A68F226">
              <w:rPr>
                <w:rFonts w:eastAsia="Arial"/>
                <w:sz w:val="16"/>
                <w:szCs w:val="16"/>
              </w:rPr>
              <w:lastRenderedPageBreak/>
              <w:t xml:space="preserve">We recommend the comment period be extended from </w:t>
            </w:r>
            <w:r w:rsidR="0093131A">
              <w:rPr>
                <w:rFonts w:eastAsia="Arial"/>
                <w:sz w:val="16"/>
                <w:szCs w:val="16"/>
              </w:rPr>
              <w:t>10 November 2023</w:t>
            </w:r>
            <w:r w:rsidRPr="6A68F226">
              <w:rPr>
                <w:rFonts w:eastAsia="Arial"/>
                <w:sz w:val="16"/>
                <w:szCs w:val="16"/>
              </w:rPr>
              <w:t xml:space="preserve"> to </w:t>
            </w:r>
            <w:r w:rsidR="00F31377">
              <w:rPr>
                <w:rFonts w:eastAsia="Arial"/>
                <w:sz w:val="16"/>
                <w:szCs w:val="16"/>
              </w:rPr>
              <w:t xml:space="preserve">30 April </w:t>
            </w:r>
            <w:r w:rsidR="0093131A">
              <w:rPr>
                <w:rFonts w:eastAsia="Arial"/>
                <w:sz w:val="16"/>
                <w:szCs w:val="16"/>
              </w:rPr>
              <w:t>2</w:t>
            </w:r>
            <w:r w:rsidRPr="6A68F226">
              <w:rPr>
                <w:rFonts w:eastAsia="Arial"/>
                <w:sz w:val="16"/>
                <w:szCs w:val="16"/>
              </w:rPr>
              <w:t>024.</w:t>
            </w:r>
          </w:p>
          <w:p w14:paraId="2A4786C8" w14:textId="77777777" w:rsidR="000B590D" w:rsidRDefault="000B590D" w:rsidP="000B590D">
            <w:pPr>
              <w:keepLines/>
              <w:spacing w:before="40" w:after="40" w:line="190" w:lineRule="exact"/>
              <w:jc w:val="left"/>
              <w:rPr>
                <w:rFonts w:eastAsia="Arial"/>
                <w:sz w:val="16"/>
                <w:szCs w:val="16"/>
              </w:rPr>
            </w:pPr>
            <w:r w:rsidRPr="6A68F226">
              <w:rPr>
                <w:rFonts w:eastAsia="Arial"/>
                <w:sz w:val="16"/>
                <w:szCs w:val="16"/>
              </w:rPr>
              <w:t>Proposed text:</w:t>
            </w:r>
          </w:p>
          <w:p w14:paraId="150A62E7" w14:textId="77777777" w:rsidR="000B590D" w:rsidRDefault="000B590D" w:rsidP="000B590D">
            <w:pPr>
              <w:keepLines/>
              <w:spacing w:before="40" w:after="40" w:line="190" w:lineRule="exact"/>
              <w:jc w:val="left"/>
              <w:rPr>
                <w:rFonts w:eastAsia="Arial"/>
                <w:sz w:val="16"/>
                <w:szCs w:val="16"/>
              </w:rPr>
            </w:pPr>
          </w:p>
          <w:p w14:paraId="6508F47C" w14:textId="6C21F775" w:rsidR="000B590D" w:rsidRPr="000B590D" w:rsidRDefault="000B590D" w:rsidP="000B590D">
            <w:pPr>
              <w:keepLines/>
              <w:spacing w:before="40" w:after="40" w:line="190" w:lineRule="exact"/>
              <w:jc w:val="left"/>
              <w:rPr>
                <w:sz w:val="16"/>
                <w:szCs w:val="16"/>
              </w:rPr>
            </w:pPr>
            <w:r w:rsidRPr="6A68F226">
              <w:rPr>
                <w:rFonts w:eastAsia="Arial"/>
                <w:i/>
                <w:iCs/>
                <w:sz w:val="16"/>
                <w:szCs w:val="16"/>
              </w:rPr>
              <w:t xml:space="preserve">In response to stakeholder comments, the committee will extend the deadline for commenting on fNRB from November 2023 to </w:t>
            </w:r>
            <w:r w:rsidR="00F31377">
              <w:rPr>
                <w:rFonts w:eastAsia="Arial"/>
                <w:i/>
                <w:iCs/>
                <w:sz w:val="16"/>
                <w:szCs w:val="16"/>
              </w:rPr>
              <w:t xml:space="preserve">30 April </w:t>
            </w:r>
            <w:r w:rsidR="0093131A" w:rsidRPr="0093131A">
              <w:rPr>
                <w:rFonts w:eastAsia="Arial"/>
                <w:i/>
                <w:iCs/>
                <w:sz w:val="16"/>
                <w:szCs w:val="16"/>
              </w:rPr>
              <w:t>2024</w:t>
            </w:r>
            <w:r w:rsidR="0093131A">
              <w:rPr>
                <w:rFonts w:eastAsia="Arial"/>
                <w:i/>
                <w:iCs/>
                <w:sz w:val="16"/>
                <w:szCs w:val="16"/>
              </w:rPr>
              <w:t>.</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0B590D" w:rsidRDefault="000B590D" w:rsidP="000B590D">
            <w:pPr>
              <w:keepLines/>
              <w:spacing w:before="40" w:after="40" w:line="190" w:lineRule="exact"/>
              <w:jc w:val="center"/>
              <w:rPr>
                <w:b/>
                <w:bCs/>
                <w:sz w:val="16"/>
                <w:szCs w:val="16"/>
              </w:rPr>
            </w:pPr>
          </w:p>
        </w:tc>
      </w:tr>
      <w:tr w:rsidR="00A87613" w14:paraId="1DD2AA5D"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6A5D8D67" w14:textId="77777777" w:rsidR="00A87613" w:rsidRDefault="00BD72F7" w:rsidP="00A87613">
            <w:pPr>
              <w:keepLines/>
              <w:spacing w:before="40" w:after="40" w:line="190" w:lineRule="exact"/>
              <w:rPr>
                <w:b/>
                <w:bCs/>
                <w:sz w:val="16"/>
                <w:szCs w:val="16"/>
              </w:rPr>
            </w:pPr>
            <w:r>
              <w:rPr>
                <w:b/>
                <w:bCs/>
                <w:sz w:val="16"/>
                <w:szCs w:val="16"/>
              </w:rPr>
              <w:lastRenderedPageBreak/>
              <w:t>28</w:t>
            </w:r>
          </w:p>
          <w:p w14:paraId="70919AB2" w14:textId="77777777" w:rsidR="00BD72F7" w:rsidRDefault="00BD72F7" w:rsidP="00A87613">
            <w:pPr>
              <w:keepLines/>
              <w:spacing w:before="40" w:after="40" w:line="190" w:lineRule="exact"/>
              <w:rPr>
                <w:b/>
                <w:bCs/>
                <w:sz w:val="16"/>
                <w:szCs w:val="16"/>
              </w:rPr>
            </w:pPr>
          </w:p>
          <w:p w14:paraId="20C217D1" w14:textId="77777777" w:rsidR="00BD72F7" w:rsidRDefault="00BD72F7" w:rsidP="00A87613">
            <w:pPr>
              <w:keepLines/>
              <w:spacing w:before="40" w:after="40" w:line="190" w:lineRule="exact"/>
              <w:rPr>
                <w:b/>
                <w:bCs/>
                <w:sz w:val="16"/>
                <w:szCs w:val="16"/>
              </w:rPr>
            </w:pPr>
          </w:p>
          <w:p w14:paraId="3BCD2FCE" w14:textId="2EE3C4D7" w:rsidR="00BD72F7" w:rsidRDefault="00BD72F7" w:rsidP="00A87613">
            <w:pPr>
              <w:keepLines/>
              <w:spacing w:before="40" w:after="40" w:line="190" w:lineRule="exact"/>
              <w:rPr>
                <w:b/>
                <w:bCs/>
                <w:sz w:val="16"/>
                <w:szCs w:val="16"/>
              </w:rPr>
            </w:pPr>
            <w:r>
              <w:rPr>
                <w:b/>
                <w:bCs/>
                <w:sz w:val="16"/>
                <w:szCs w:val="16"/>
              </w:rPr>
              <w:t>29</w:t>
            </w:r>
          </w:p>
        </w:tc>
        <w:tc>
          <w:tcPr>
            <w:tcW w:w="1080" w:type="dxa"/>
            <w:tcBorders>
              <w:top w:val="single" w:sz="6" w:space="0" w:color="auto"/>
              <w:left w:val="single" w:sz="6" w:space="0" w:color="auto"/>
              <w:bottom w:val="single" w:sz="6" w:space="0" w:color="auto"/>
              <w:right w:val="single" w:sz="6" w:space="0" w:color="auto"/>
            </w:tcBorders>
          </w:tcPr>
          <w:p w14:paraId="60377FBB" w14:textId="77777777" w:rsidR="00A87613" w:rsidRDefault="00A87613" w:rsidP="00A87613">
            <w:pPr>
              <w:keepLines/>
              <w:spacing w:before="40" w:after="40" w:line="190" w:lineRule="exact"/>
              <w:rPr>
                <w:b/>
                <w:bCs/>
                <w:sz w:val="16"/>
                <w:szCs w:val="16"/>
              </w:rPr>
            </w:pPr>
            <w:r w:rsidRPr="00A87613">
              <w:rPr>
                <w:b/>
                <w:bCs/>
                <w:sz w:val="16"/>
                <w:szCs w:val="16"/>
              </w:rPr>
              <w:t>Paragraph 1</w:t>
            </w:r>
          </w:p>
          <w:p w14:paraId="2E1232F3" w14:textId="77777777" w:rsidR="00BD72F7" w:rsidRDefault="00BD72F7" w:rsidP="00A87613">
            <w:pPr>
              <w:keepLines/>
              <w:spacing w:before="40" w:after="40" w:line="190" w:lineRule="exact"/>
              <w:rPr>
                <w:b/>
                <w:bCs/>
                <w:sz w:val="16"/>
                <w:szCs w:val="16"/>
              </w:rPr>
            </w:pPr>
          </w:p>
          <w:p w14:paraId="11B3C456" w14:textId="3D148D84" w:rsidR="00BD72F7" w:rsidRDefault="00BD72F7" w:rsidP="00BD72F7">
            <w:pPr>
              <w:keepLines/>
              <w:spacing w:before="40" w:after="40" w:line="190" w:lineRule="exact"/>
              <w:rPr>
                <w:b/>
                <w:bCs/>
                <w:sz w:val="16"/>
                <w:szCs w:val="16"/>
              </w:rPr>
            </w:pPr>
            <w:r w:rsidRPr="00A87613">
              <w:rPr>
                <w:b/>
                <w:bCs/>
                <w:sz w:val="16"/>
                <w:szCs w:val="16"/>
              </w:rPr>
              <w:t xml:space="preserve">Paragraph </w:t>
            </w:r>
            <w:r>
              <w:rPr>
                <w:b/>
                <w:bCs/>
                <w:sz w:val="16"/>
                <w:szCs w:val="16"/>
              </w:rPr>
              <w:t>2</w:t>
            </w:r>
          </w:p>
          <w:p w14:paraId="5F27B767" w14:textId="77777777" w:rsidR="00BD72F7" w:rsidRDefault="00BD72F7" w:rsidP="00A87613">
            <w:pPr>
              <w:keepLines/>
              <w:spacing w:before="40" w:after="40" w:line="190" w:lineRule="exact"/>
              <w:rPr>
                <w:b/>
                <w:bCs/>
                <w:sz w:val="16"/>
                <w:szCs w:val="16"/>
              </w:rPr>
            </w:pPr>
          </w:p>
          <w:p w14:paraId="512823F1" w14:textId="77777777" w:rsidR="00BD72F7" w:rsidRDefault="00BD72F7" w:rsidP="00A87613">
            <w:pPr>
              <w:keepLines/>
              <w:spacing w:before="40" w:after="40" w:line="190" w:lineRule="exact"/>
              <w:rPr>
                <w:b/>
                <w:bCs/>
                <w:sz w:val="16"/>
                <w:szCs w:val="16"/>
              </w:rPr>
            </w:pPr>
          </w:p>
          <w:p w14:paraId="49AFBB31" w14:textId="59215C59" w:rsidR="00BD72F7" w:rsidRDefault="00BD72F7" w:rsidP="00A87613">
            <w:pPr>
              <w:keepLines/>
              <w:spacing w:before="40" w:after="40" w:line="190" w:lineRule="exact"/>
              <w:rPr>
                <w:b/>
                <w:bCs/>
                <w:sz w:val="16"/>
                <w:szCs w:val="16"/>
              </w:rPr>
            </w:pPr>
          </w:p>
        </w:tc>
        <w:tc>
          <w:tcPr>
            <w:tcW w:w="900" w:type="dxa"/>
            <w:tcBorders>
              <w:top w:val="single" w:sz="6" w:space="0" w:color="auto"/>
              <w:left w:val="single" w:sz="6" w:space="0" w:color="auto"/>
              <w:bottom w:val="single" w:sz="6" w:space="0" w:color="auto"/>
              <w:right w:val="single" w:sz="6" w:space="0" w:color="auto"/>
            </w:tcBorders>
          </w:tcPr>
          <w:p w14:paraId="30637455" w14:textId="77777777" w:rsidR="00A87613" w:rsidRDefault="00BD72F7" w:rsidP="00A87613">
            <w:pPr>
              <w:keepLines/>
              <w:spacing w:before="40" w:after="40" w:line="190" w:lineRule="exact"/>
              <w:rPr>
                <w:b/>
                <w:bCs/>
                <w:sz w:val="16"/>
                <w:szCs w:val="16"/>
              </w:rPr>
            </w:pPr>
            <w:r>
              <w:rPr>
                <w:b/>
                <w:bCs/>
                <w:sz w:val="16"/>
                <w:szCs w:val="16"/>
              </w:rPr>
              <w:t>1</w:t>
            </w:r>
          </w:p>
          <w:p w14:paraId="33A91697" w14:textId="77777777" w:rsidR="00BD72F7" w:rsidRDefault="00BD72F7" w:rsidP="00A87613">
            <w:pPr>
              <w:keepLines/>
              <w:spacing w:before="40" w:after="40" w:line="190" w:lineRule="exact"/>
              <w:rPr>
                <w:b/>
                <w:bCs/>
                <w:sz w:val="16"/>
                <w:szCs w:val="16"/>
              </w:rPr>
            </w:pPr>
          </w:p>
          <w:p w14:paraId="080AAEA7" w14:textId="77777777" w:rsidR="00BD72F7" w:rsidRDefault="00BD72F7" w:rsidP="00A87613">
            <w:pPr>
              <w:keepLines/>
              <w:spacing w:before="40" w:after="40" w:line="190" w:lineRule="exact"/>
              <w:rPr>
                <w:b/>
                <w:bCs/>
                <w:sz w:val="16"/>
                <w:szCs w:val="16"/>
              </w:rPr>
            </w:pPr>
          </w:p>
          <w:p w14:paraId="75AD19F8" w14:textId="1CDAF757" w:rsidR="00BD72F7" w:rsidRDefault="00BD72F7" w:rsidP="00A87613">
            <w:pPr>
              <w:keepLines/>
              <w:spacing w:before="40" w:after="40" w:line="190" w:lineRule="exact"/>
              <w:rPr>
                <w:b/>
                <w:bCs/>
                <w:sz w:val="16"/>
                <w:szCs w:val="16"/>
              </w:rPr>
            </w:pPr>
            <w:r>
              <w:rPr>
                <w:b/>
                <w:bCs/>
                <w:sz w:val="16"/>
                <w:szCs w:val="16"/>
              </w:rPr>
              <w:t>1</w:t>
            </w:r>
          </w:p>
        </w:tc>
        <w:tc>
          <w:tcPr>
            <w:tcW w:w="1980" w:type="dxa"/>
            <w:tcBorders>
              <w:top w:val="single" w:sz="6" w:space="0" w:color="auto"/>
              <w:left w:val="single" w:sz="6" w:space="0" w:color="auto"/>
              <w:bottom w:val="single" w:sz="6" w:space="0" w:color="auto"/>
              <w:right w:val="single" w:sz="6" w:space="0" w:color="auto"/>
            </w:tcBorders>
          </w:tcPr>
          <w:p w14:paraId="0CCA30C3" w14:textId="2C104C59" w:rsidR="00A87613" w:rsidRDefault="00A87613" w:rsidP="00A87613">
            <w:pPr>
              <w:keepLines/>
              <w:spacing w:before="40" w:after="40" w:line="190" w:lineRule="exact"/>
              <w:jc w:val="center"/>
              <w:rPr>
                <w:b/>
                <w:bCs/>
                <w:sz w:val="16"/>
                <w:szCs w:val="16"/>
              </w:rPr>
            </w:pPr>
            <w:r w:rsidRPr="41745E52">
              <w:rPr>
                <w:b/>
                <w:bCs/>
                <w:sz w:val="16"/>
                <w:szCs w:val="16"/>
              </w:rPr>
              <w:t>te</w:t>
            </w:r>
          </w:p>
        </w:tc>
        <w:tc>
          <w:tcPr>
            <w:tcW w:w="5040" w:type="dxa"/>
            <w:tcBorders>
              <w:top w:val="single" w:sz="6" w:space="0" w:color="auto"/>
              <w:left w:val="single" w:sz="6" w:space="0" w:color="auto"/>
              <w:bottom w:val="single" w:sz="6" w:space="0" w:color="auto"/>
              <w:right w:val="single" w:sz="6" w:space="0" w:color="auto"/>
            </w:tcBorders>
          </w:tcPr>
          <w:p w14:paraId="61BF9338" w14:textId="478713BE" w:rsidR="00A87613" w:rsidRDefault="00A87613" w:rsidP="00A87613">
            <w:pPr>
              <w:keepLines/>
              <w:spacing w:before="40" w:after="40" w:line="190" w:lineRule="exact"/>
              <w:jc w:val="left"/>
              <w:rPr>
                <w:rFonts w:eastAsia="Arial"/>
                <w:sz w:val="16"/>
                <w:szCs w:val="16"/>
              </w:rPr>
            </w:pPr>
            <w:r>
              <w:rPr>
                <w:rFonts w:eastAsia="Arial"/>
                <w:sz w:val="16"/>
                <w:szCs w:val="16"/>
              </w:rPr>
              <w:t xml:space="preserve">The MoFuSS tool, estimates non-renewable biomass primarily as a </w:t>
            </w:r>
            <w:r w:rsidRPr="00B3075F">
              <w:rPr>
                <w:rFonts w:eastAsia="Arial"/>
                <w:sz w:val="16"/>
                <w:szCs w:val="16"/>
              </w:rPr>
              <w:t>function of population data and estimated fuel consumption metrics. Notably, the use of default wood fuel consumption of 0.</w:t>
            </w:r>
            <w:r w:rsidR="00E014BA">
              <w:rPr>
                <w:rFonts w:eastAsia="Arial"/>
                <w:sz w:val="16"/>
                <w:szCs w:val="16"/>
              </w:rPr>
              <w:t>41</w:t>
            </w:r>
            <w:r w:rsidRPr="00B3075F">
              <w:rPr>
                <w:rFonts w:eastAsia="Arial"/>
                <w:sz w:val="16"/>
                <w:szCs w:val="16"/>
              </w:rPr>
              <w:t xml:space="preserve"> </w:t>
            </w:r>
            <w:r w:rsidR="008F1882" w:rsidRPr="00B3075F">
              <w:rPr>
                <w:rFonts w:eastAsia="Arial"/>
                <w:sz w:val="16"/>
                <w:szCs w:val="16"/>
              </w:rPr>
              <w:t>tonnes</w:t>
            </w:r>
            <w:r w:rsidRPr="00B3075F">
              <w:rPr>
                <w:rFonts w:eastAsia="Arial"/>
                <w:sz w:val="16"/>
                <w:szCs w:val="16"/>
              </w:rPr>
              <w:t xml:space="preserve"> per capita, as homogenized estimation of wood fuel demand</w:t>
            </w:r>
            <w:r>
              <w:rPr>
                <w:rFonts w:eastAsia="Arial"/>
                <w:sz w:val="16"/>
                <w:szCs w:val="16"/>
              </w:rPr>
              <w:t xml:space="preserve"> across the continent. The tool also relies on 2018 UN data for demographic distribution, which is not an accurate representation of demographic data </w:t>
            </w:r>
            <w:r w:rsidR="00B3075F">
              <w:rPr>
                <w:rFonts w:eastAsia="Arial"/>
                <w:sz w:val="16"/>
                <w:szCs w:val="16"/>
              </w:rPr>
              <w:t xml:space="preserve">as </w:t>
            </w:r>
            <w:r>
              <w:rPr>
                <w:rFonts w:eastAsia="Arial"/>
                <w:sz w:val="16"/>
                <w:szCs w:val="16"/>
              </w:rPr>
              <w:t xml:space="preserve">5 years </w:t>
            </w:r>
            <w:r w:rsidR="00B3075F">
              <w:rPr>
                <w:rFonts w:eastAsia="Arial"/>
                <w:sz w:val="16"/>
                <w:szCs w:val="16"/>
              </w:rPr>
              <w:t>have passed</w:t>
            </w:r>
            <w:r>
              <w:rPr>
                <w:rFonts w:eastAsia="Arial"/>
                <w:sz w:val="16"/>
                <w:szCs w:val="16"/>
              </w:rPr>
              <w:t xml:space="preserve">, and which admittedly lacks specificity in sub national geographical data. </w:t>
            </w:r>
          </w:p>
          <w:p w14:paraId="2B51D181" w14:textId="6B5844BE" w:rsidR="002C7BEF" w:rsidRDefault="00A87613" w:rsidP="00A87613">
            <w:pPr>
              <w:keepLines/>
              <w:spacing w:before="40" w:after="40" w:line="190" w:lineRule="exact"/>
              <w:jc w:val="left"/>
              <w:rPr>
                <w:rFonts w:eastAsia="Arial"/>
                <w:sz w:val="16"/>
                <w:szCs w:val="16"/>
              </w:rPr>
            </w:pPr>
            <w:r>
              <w:rPr>
                <w:rFonts w:eastAsia="Arial"/>
                <w:sz w:val="16"/>
                <w:szCs w:val="16"/>
              </w:rPr>
              <w:t xml:space="preserve">An opportunity here exists for Host Countries to provide more accurate demographic and biomass consumption data as both variables are tracked to varied degrees in most Host Counties DHS and Census survey data. </w:t>
            </w:r>
          </w:p>
          <w:p w14:paraId="104A5972" w14:textId="77777777" w:rsidR="00B3075F" w:rsidRDefault="002C7BEF" w:rsidP="00A87613">
            <w:pPr>
              <w:keepLines/>
              <w:spacing w:before="40" w:after="40" w:line="190" w:lineRule="exact"/>
              <w:jc w:val="left"/>
              <w:rPr>
                <w:rFonts w:eastAsia="Arial"/>
                <w:sz w:val="16"/>
                <w:szCs w:val="16"/>
              </w:rPr>
            </w:pPr>
            <w:r>
              <w:rPr>
                <w:rFonts w:eastAsia="Arial"/>
                <w:sz w:val="16"/>
                <w:szCs w:val="16"/>
              </w:rPr>
              <w:t xml:space="preserve">Host Countries </w:t>
            </w:r>
            <w:r w:rsidR="000665C3">
              <w:rPr>
                <w:rFonts w:eastAsia="Arial"/>
                <w:sz w:val="16"/>
                <w:szCs w:val="16"/>
              </w:rPr>
              <w:t>should also</w:t>
            </w:r>
            <w:r w:rsidR="009226D7">
              <w:rPr>
                <w:rFonts w:eastAsia="Arial"/>
                <w:sz w:val="16"/>
                <w:szCs w:val="16"/>
              </w:rPr>
              <w:t xml:space="preserve"> provide data on forestry biomass stocks.</w:t>
            </w:r>
          </w:p>
          <w:p w14:paraId="396D2105" w14:textId="77777777" w:rsidR="00B3075F" w:rsidRDefault="009226D7" w:rsidP="00A87613">
            <w:pPr>
              <w:keepLines/>
              <w:spacing w:before="40" w:after="40" w:line="190" w:lineRule="exact"/>
              <w:jc w:val="left"/>
              <w:rPr>
                <w:rFonts w:eastAsia="Arial"/>
                <w:sz w:val="16"/>
                <w:szCs w:val="16"/>
              </w:rPr>
            </w:pPr>
            <w:r>
              <w:rPr>
                <w:rFonts w:eastAsia="Arial"/>
                <w:sz w:val="16"/>
                <w:szCs w:val="16"/>
              </w:rPr>
              <w:t xml:space="preserve">Host Countries maintain data on protected and non-protected forest </w:t>
            </w:r>
            <w:r w:rsidR="000665C3">
              <w:rPr>
                <w:rFonts w:eastAsia="Arial"/>
                <w:sz w:val="16"/>
                <w:szCs w:val="16"/>
              </w:rPr>
              <w:t xml:space="preserve">biomass depletion and regrowth rates </w:t>
            </w:r>
            <w:r w:rsidR="00631925">
              <w:rPr>
                <w:rFonts w:eastAsia="Arial"/>
                <w:sz w:val="16"/>
                <w:szCs w:val="16"/>
              </w:rPr>
              <w:t xml:space="preserve">over a long time period which should be incorporated into the modelling of renewable biomass using the MoFuSS tool. </w:t>
            </w:r>
          </w:p>
          <w:p w14:paraId="4D14390B" w14:textId="76947C2F" w:rsidR="002C7BEF" w:rsidRDefault="00631925" w:rsidP="00A87613">
            <w:pPr>
              <w:keepLines/>
              <w:spacing w:before="40" w:after="40" w:line="190" w:lineRule="exact"/>
              <w:jc w:val="left"/>
              <w:rPr>
                <w:rFonts w:eastAsia="Arial"/>
                <w:sz w:val="16"/>
                <w:szCs w:val="16"/>
              </w:rPr>
            </w:pPr>
            <w:r>
              <w:rPr>
                <w:rFonts w:eastAsia="Arial"/>
                <w:sz w:val="16"/>
                <w:szCs w:val="16"/>
              </w:rPr>
              <w:t>Host Countries are primarily tasked with the protection of these biomass stocks and should be able to provide meaningful contributions to their estimations and contributions to national and regional fNRB estimates.</w:t>
            </w:r>
          </w:p>
          <w:p w14:paraId="43BD7172" w14:textId="05372773" w:rsidR="00A87613" w:rsidRDefault="00B3075F" w:rsidP="00A87613">
            <w:pPr>
              <w:keepLines/>
              <w:spacing w:before="40" w:after="40" w:line="190" w:lineRule="exact"/>
              <w:jc w:val="left"/>
              <w:rPr>
                <w:rFonts w:eastAsia="Arial"/>
                <w:sz w:val="16"/>
                <w:szCs w:val="16"/>
              </w:rPr>
            </w:pPr>
            <w:r>
              <w:rPr>
                <w:rFonts w:eastAsia="Arial"/>
                <w:sz w:val="16"/>
                <w:szCs w:val="16"/>
              </w:rPr>
              <w:t>T</w:t>
            </w:r>
            <w:r w:rsidR="00A87613">
              <w:rPr>
                <w:rFonts w:eastAsia="Arial"/>
                <w:sz w:val="16"/>
                <w:szCs w:val="16"/>
              </w:rPr>
              <w:t>he CDM MP &amp; EB</w:t>
            </w:r>
            <w:r>
              <w:rPr>
                <w:rFonts w:eastAsia="Arial"/>
                <w:sz w:val="16"/>
                <w:szCs w:val="16"/>
              </w:rPr>
              <w:t xml:space="preserve"> must</w:t>
            </w:r>
            <w:r w:rsidR="00A87613">
              <w:rPr>
                <w:rFonts w:eastAsia="Arial"/>
                <w:sz w:val="16"/>
                <w:szCs w:val="16"/>
              </w:rPr>
              <w:t xml:space="preserve"> </w:t>
            </w:r>
            <w:r w:rsidR="009312D9">
              <w:rPr>
                <w:rFonts w:eastAsia="Arial"/>
                <w:sz w:val="16"/>
                <w:szCs w:val="16"/>
              </w:rPr>
              <w:t>consult directly with Host Counti</w:t>
            </w:r>
            <w:r w:rsidR="008F1882">
              <w:rPr>
                <w:rFonts w:eastAsia="Arial"/>
                <w:sz w:val="16"/>
                <w:szCs w:val="16"/>
              </w:rPr>
              <w:t xml:space="preserve">es and </w:t>
            </w:r>
            <w:r w:rsidR="00A87613">
              <w:rPr>
                <w:rFonts w:eastAsia="Arial"/>
                <w:sz w:val="16"/>
                <w:szCs w:val="16"/>
              </w:rPr>
              <w:t xml:space="preserve">afford Host Countries and Project developers </w:t>
            </w:r>
            <w:r w:rsidR="008F1882">
              <w:rPr>
                <w:rFonts w:eastAsia="Arial"/>
                <w:sz w:val="16"/>
                <w:szCs w:val="16"/>
              </w:rPr>
              <w:t xml:space="preserve">the option </w:t>
            </w:r>
            <w:r w:rsidR="00A87613">
              <w:rPr>
                <w:rFonts w:eastAsia="Arial"/>
                <w:sz w:val="16"/>
                <w:szCs w:val="16"/>
              </w:rPr>
              <w:t>to use nationally approved data sets to augment or supersede the MoFuSS data models where applicable.</w:t>
            </w:r>
          </w:p>
        </w:tc>
        <w:tc>
          <w:tcPr>
            <w:tcW w:w="4009" w:type="dxa"/>
            <w:tcBorders>
              <w:top w:val="single" w:sz="6" w:space="0" w:color="auto"/>
              <w:left w:val="single" w:sz="6" w:space="0" w:color="auto"/>
              <w:bottom w:val="single" w:sz="6" w:space="0" w:color="auto"/>
              <w:right w:val="single" w:sz="6" w:space="0" w:color="auto"/>
            </w:tcBorders>
          </w:tcPr>
          <w:p w14:paraId="7825AAAF" w14:textId="77777777" w:rsidR="00BD72F7" w:rsidRDefault="00BD72F7" w:rsidP="00BD72F7">
            <w:pPr>
              <w:keepLines/>
              <w:spacing w:before="40" w:after="40" w:line="190" w:lineRule="exact"/>
              <w:jc w:val="left"/>
              <w:rPr>
                <w:rFonts w:eastAsia="Arial"/>
                <w:sz w:val="16"/>
                <w:szCs w:val="16"/>
              </w:rPr>
            </w:pPr>
            <w:r w:rsidRPr="6A68F226">
              <w:rPr>
                <w:rFonts w:eastAsia="Arial"/>
                <w:sz w:val="16"/>
                <w:szCs w:val="16"/>
              </w:rPr>
              <w:t>Proposed text:</w:t>
            </w:r>
          </w:p>
          <w:p w14:paraId="5811FE53" w14:textId="77777777" w:rsidR="00BD72F7" w:rsidRDefault="00BD72F7" w:rsidP="00BD72F7">
            <w:pPr>
              <w:keepLines/>
              <w:spacing w:before="40" w:after="40" w:line="190" w:lineRule="exact"/>
              <w:jc w:val="left"/>
              <w:rPr>
                <w:rFonts w:eastAsia="Arial"/>
                <w:sz w:val="16"/>
                <w:szCs w:val="16"/>
              </w:rPr>
            </w:pPr>
          </w:p>
          <w:p w14:paraId="65A9E767" w14:textId="165BD8D8" w:rsidR="007A45A5" w:rsidRDefault="00BA338D" w:rsidP="550EFD7F">
            <w:pPr>
              <w:keepLines/>
              <w:spacing w:before="40" w:after="40" w:line="190" w:lineRule="exact"/>
              <w:jc w:val="left"/>
              <w:rPr>
                <w:rFonts w:eastAsia="Arial"/>
                <w:i/>
                <w:iCs/>
                <w:sz w:val="16"/>
                <w:szCs w:val="16"/>
              </w:rPr>
            </w:pPr>
            <w:r w:rsidRPr="550EFD7F">
              <w:rPr>
                <w:rFonts w:eastAsia="Arial"/>
                <w:i/>
                <w:iCs/>
                <w:sz w:val="16"/>
                <w:szCs w:val="16"/>
              </w:rPr>
              <w:t xml:space="preserve">The CDM </w:t>
            </w:r>
            <w:r w:rsidR="00B34E9D" w:rsidRPr="550EFD7F">
              <w:rPr>
                <w:rFonts w:eastAsia="Arial"/>
                <w:i/>
                <w:iCs/>
                <w:sz w:val="16"/>
                <w:szCs w:val="16"/>
              </w:rPr>
              <w:t>MP shall consult directly with Host Counties on the estimation of demographic and wood fuel consumption data</w:t>
            </w:r>
            <w:r w:rsidR="00537D9E">
              <w:rPr>
                <w:rFonts w:eastAsia="Arial"/>
                <w:i/>
                <w:iCs/>
                <w:sz w:val="16"/>
                <w:szCs w:val="16"/>
              </w:rPr>
              <w:t xml:space="preserve">, forestry data </w:t>
            </w:r>
            <w:r w:rsidR="49D80172" w:rsidRPr="550EFD7F">
              <w:rPr>
                <w:rFonts w:eastAsia="Arial"/>
                <w:i/>
                <w:iCs/>
                <w:sz w:val="16"/>
                <w:szCs w:val="16"/>
              </w:rPr>
              <w:t>and charcoal supply chain data</w:t>
            </w:r>
            <w:r w:rsidR="007A45A5" w:rsidRPr="550EFD7F">
              <w:rPr>
                <w:rFonts w:eastAsia="Arial"/>
                <w:i/>
                <w:iCs/>
                <w:sz w:val="16"/>
                <w:szCs w:val="16"/>
              </w:rPr>
              <w:t xml:space="preserve">. </w:t>
            </w:r>
          </w:p>
          <w:p w14:paraId="18FAE1E7" w14:textId="77777777" w:rsidR="007A45A5" w:rsidRDefault="007A45A5" w:rsidP="00BD72F7">
            <w:pPr>
              <w:keepLines/>
              <w:spacing w:before="40" w:after="40" w:line="190" w:lineRule="exact"/>
              <w:jc w:val="left"/>
              <w:rPr>
                <w:rFonts w:eastAsia="Arial"/>
                <w:i/>
                <w:iCs/>
                <w:sz w:val="16"/>
                <w:szCs w:val="16"/>
              </w:rPr>
            </w:pPr>
          </w:p>
          <w:p w14:paraId="6E0A045E" w14:textId="77777777" w:rsidR="007A45A5" w:rsidRDefault="007A45A5" w:rsidP="007A45A5">
            <w:pPr>
              <w:keepLines/>
              <w:spacing w:before="40" w:after="40" w:line="190" w:lineRule="exact"/>
              <w:jc w:val="left"/>
              <w:rPr>
                <w:rFonts w:eastAsia="Arial"/>
                <w:sz w:val="16"/>
                <w:szCs w:val="16"/>
              </w:rPr>
            </w:pPr>
            <w:r w:rsidRPr="6A68F226">
              <w:rPr>
                <w:rFonts w:eastAsia="Arial"/>
                <w:sz w:val="16"/>
                <w:szCs w:val="16"/>
              </w:rPr>
              <w:t>Proposed text:</w:t>
            </w:r>
          </w:p>
          <w:p w14:paraId="55B5FCA0" w14:textId="058E8C8A" w:rsidR="00A87613" w:rsidRDefault="00BD72F7" w:rsidP="00BD72F7">
            <w:pPr>
              <w:keepLines/>
              <w:spacing w:before="40" w:after="40" w:line="190" w:lineRule="exact"/>
              <w:jc w:val="left"/>
              <w:rPr>
                <w:rFonts w:eastAsia="Arial"/>
                <w:sz w:val="16"/>
                <w:szCs w:val="16"/>
              </w:rPr>
            </w:pPr>
            <w:r>
              <w:rPr>
                <w:rFonts w:eastAsia="Arial"/>
                <w:i/>
                <w:iCs/>
                <w:sz w:val="16"/>
                <w:szCs w:val="16"/>
              </w:rPr>
              <w:t>The quantification of demographic and wood fuel consumption data can be sourced from updated Host Country approved DHS or Census data.</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A87613" w:rsidRDefault="00A87613" w:rsidP="00A87613">
            <w:pPr>
              <w:keepLines/>
              <w:spacing w:before="40" w:after="40" w:line="190" w:lineRule="exact"/>
              <w:jc w:val="center"/>
              <w:rPr>
                <w:b/>
                <w:bCs/>
                <w:sz w:val="16"/>
                <w:szCs w:val="16"/>
              </w:rPr>
            </w:pPr>
          </w:p>
        </w:tc>
      </w:tr>
    </w:tbl>
    <w:p w14:paraId="1BCDB222" w14:textId="77777777" w:rsidR="00DF4F6B" w:rsidRDefault="00DF4F6B">
      <w:pPr>
        <w:spacing w:line="240" w:lineRule="exact"/>
      </w:pPr>
      <w:bookmarkStart w:id="0" w:name="_GoBack"/>
      <w:bookmarkEnd w:id="0"/>
    </w:p>
    <w:sectPr w:rsidR="00DF4F6B">
      <w:headerReference w:type="default" r:id="rId10"/>
      <w:footerReference w:type="even" r:id="rId11"/>
      <w:footerReference w:type="default" r:id="rId12"/>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A8E50" w14:textId="77777777" w:rsidR="00C036DC" w:rsidRDefault="00C036DC" w:rsidP="00DF4F6B">
      <w:r>
        <w:separator/>
      </w:r>
    </w:p>
  </w:endnote>
  <w:endnote w:type="continuationSeparator" w:id="0">
    <w:p w14:paraId="3A8E24DE" w14:textId="77777777" w:rsidR="00C036DC" w:rsidRDefault="00C036DC" w:rsidP="00DF4F6B">
      <w:r>
        <w:continuationSeparator/>
      </w:r>
    </w:p>
  </w:endnote>
  <w:endnote w:type="continuationNotice" w:id="1">
    <w:p w14:paraId="1618DE66" w14:textId="77777777" w:rsidR="00C036DC" w:rsidRDefault="00C03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247C" w14:textId="122466B0"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4B83">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40487" w14:textId="77777777" w:rsidR="00C036DC" w:rsidRDefault="00C036DC" w:rsidP="00DF4F6B">
      <w:r>
        <w:separator/>
      </w:r>
    </w:p>
  </w:footnote>
  <w:footnote w:type="continuationSeparator" w:id="0">
    <w:p w14:paraId="5DE9C4E4" w14:textId="77777777" w:rsidR="00C036DC" w:rsidRDefault="00C036DC" w:rsidP="00DF4F6B">
      <w:r>
        <w:continuationSeparator/>
      </w:r>
    </w:p>
  </w:footnote>
  <w:footnote w:type="continuationNotice" w:id="1">
    <w:p w14:paraId="05D2359F" w14:textId="77777777" w:rsidR="00C036DC" w:rsidRDefault="00C036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2087"/>
    <w:multiLevelType w:val="hybridMultilevel"/>
    <w:tmpl w:val="95F8C096"/>
    <w:lvl w:ilvl="0" w:tplc="C2408E4E">
      <w:start w:val="1"/>
      <w:numFmt w:val="bullet"/>
      <w:lvlText w:val=""/>
      <w:lvlJc w:val="left"/>
      <w:pPr>
        <w:ind w:left="720" w:hanging="360"/>
      </w:pPr>
      <w:rPr>
        <w:rFonts w:ascii="Symbol" w:hAnsi="Symbol" w:hint="default"/>
      </w:rPr>
    </w:lvl>
    <w:lvl w:ilvl="1" w:tplc="C2861EAC">
      <w:start w:val="1"/>
      <w:numFmt w:val="bullet"/>
      <w:lvlText w:val="o"/>
      <w:lvlJc w:val="left"/>
      <w:pPr>
        <w:ind w:left="1440" w:hanging="360"/>
      </w:pPr>
      <w:rPr>
        <w:rFonts w:ascii="Courier New" w:hAnsi="Courier New" w:hint="default"/>
      </w:rPr>
    </w:lvl>
    <w:lvl w:ilvl="2" w:tplc="04163D9A">
      <w:start w:val="1"/>
      <w:numFmt w:val="bullet"/>
      <w:lvlText w:val=""/>
      <w:lvlJc w:val="left"/>
      <w:pPr>
        <w:ind w:left="2160" w:hanging="360"/>
      </w:pPr>
      <w:rPr>
        <w:rFonts w:ascii="Wingdings" w:hAnsi="Wingdings" w:hint="default"/>
      </w:rPr>
    </w:lvl>
    <w:lvl w:ilvl="3" w:tplc="94840AEC">
      <w:start w:val="1"/>
      <w:numFmt w:val="bullet"/>
      <w:lvlText w:val=""/>
      <w:lvlJc w:val="left"/>
      <w:pPr>
        <w:ind w:left="2880" w:hanging="360"/>
      </w:pPr>
      <w:rPr>
        <w:rFonts w:ascii="Symbol" w:hAnsi="Symbol" w:hint="default"/>
      </w:rPr>
    </w:lvl>
    <w:lvl w:ilvl="4" w:tplc="4150F63C">
      <w:start w:val="1"/>
      <w:numFmt w:val="bullet"/>
      <w:lvlText w:val="o"/>
      <w:lvlJc w:val="left"/>
      <w:pPr>
        <w:ind w:left="3600" w:hanging="360"/>
      </w:pPr>
      <w:rPr>
        <w:rFonts w:ascii="Courier New" w:hAnsi="Courier New" w:hint="default"/>
      </w:rPr>
    </w:lvl>
    <w:lvl w:ilvl="5" w:tplc="FCDAEE4C">
      <w:start w:val="1"/>
      <w:numFmt w:val="bullet"/>
      <w:lvlText w:val=""/>
      <w:lvlJc w:val="left"/>
      <w:pPr>
        <w:ind w:left="4320" w:hanging="360"/>
      </w:pPr>
      <w:rPr>
        <w:rFonts w:ascii="Wingdings" w:hAnsi="Wingdings" w:hint="default"/>
      </w:rPr>
    </w:lvl>
    <w:lvl w:ilvl="6" w:tplc="92E4B9C0">
      <w:start w:val="1"/>
      <w:numFmt w:val="bullet"/>
      <w:lvlText w:val=""/>
      <w:lvlJc w:val="left"/>
      <w:pPr>
        <w:ind w:left="5040" w:hanging="360"/>
      </w:pPr>
      <w:rPr>
        <w:rFonts w:ascii="Symbol" w:hAnsi="Symbol" w:hint="default"/>
      </w:rPr>
    </w:lvl>
    <w:lvl w:ilvl="7" w:tplc="8946C99C">
      <w:start w:val="1"/>
      <w:numFmt w:val="bullet"/>
      <w:lvlText w:val="o"/>
      <w:lvlJc w:val="left"/>
      <w:pPr>
        <w:ind w:left="5760" w:hanging="360"/>
      </w:pPr>
      <w:rPr>
        <w:rFonts w:ascii="Courier New" w:hAnsi="Courier New" w:hint="default"/>
      </w:rPr>
    </w:lvl>
    <w:lvl w:ilvl="8" w:tplc="16700DFA">
      <w:start w:val="1"/>
      <w:numFmt w:val="bullet"/>
      <w:lvlText w:val=""/>
      <w:lvlJc w:val="left"/>
      <w:pPr>
        <w:ind w:left="6480" w:hanging="360"/>
      </w:pPr>
      <w:rPr>
        <w:rFonts w:ascii="Wingdings" w:hAnsi="Wingdings" w:hint="default"/>
      </w:rPr>
    </w:lvl>
  </w:abstractNum>
  <w:abstractNum w:abstractNumId="1" w15:restartNumberingAfterBreak="0">
    <w:nsid w:val="13C8CA9C"/>
    <w:multiLevelType w:val="hybridMultilevel"/>
    <w:tmpl w:val="FFFFFFFF"/>
    <w:lvl w:ilvl="0" w:tplc="328C8E4E">
      <w:start w:val="1"/>
      <w:numFmt w:val="bullet"/>
      <w:lvlText w:val=""/>
      <w:lvlJc w:val="left"/>
      <w:pPr>
        <w:ind w:left="720" w:hanging="360"/>
      </w:pPr>
      <w:rPr>
        <w:rFonts w:ascii="Symbol" w:hAnsi="Symbol" w:hint="default"/>
      </w:rPr>
    </w:lvl>
    <w:lvl w:ilvl="1" w:tplc="BA586986">
      <w:start w:val="1"/>
      <w:numFmt w:val="bullet"/>
      <w:lvlText w:val="o"/>
      <w:lvlJc w:val="left"/>
      <w:pPr>
        <w:ind w:left="1440" w:hanging="360"/>
      </w:pPr>
      <w:rPr>
        <w:rFonts w:ascii="Courier New" w:hAnsi="Courier New" w:hint="default"/>
      </w:rPr>
    </w:lvl>
    <w:lvl w:ilvl="2" w:tplc="DB143AE6">
      <w:start w:val="1"/>
      <w:numFmt w:val="bullet"/>
      <w:lvlText w:val=""/>
      <w:lvlJc w:val="left"/>
      <w:pPr>
        <w:ind w:left="2160" w:hanging="360"/>
      </w:pPr>
      <w:rPr>
        <w:rFonts w:ascii="Wingdings" w:hAnsi="Wingdings" w:hint="default"/>
      </w:rPr>
    </w:lvl>
    <w:lvl w:ilvl="3" w:tplc="0C8213BA">
      <w:start w:val="1"/>
      <w:numFmt w:val="bullet"/>
      <w:lvlText w:val=""/>
      <w:lvlJc w:val="left"/>
      <w:pPr>
        <w:ind w:left="2880" w:hanging="360"/>
      </w:pPr>
      <w:rPr>
        <w:rFonts w:ascii="Symbol" w:hAnsi="Symbol" w:hint="default"/>
      </w:rPr>
    </w:lvl>
    <w:lvl w:ilvl="4" w:tplc="17C0802A">
      <w:start w:val="1"/>
      <w:numFmt w:val="bullet"/>
      <w:lvlText w:val="o"/>
      <w:lvlJc w:val="left"/>
      <w:pPr>
        <w:ind w:left="3600" w:hanging="360"/>
      </w:pPr>
      <w:rPr>
        <w:rFonts w:ascii="Courier New" w:hAnsi="Courier New" w:hint="default"/>
      </w:rPr>
    </w:lvl>
    <w:lvl w:ilvl="5" w:tplc="31FA934E">
      <w:start w:val="1"/>
      <w:numFmt w:val="bullet"/>
      <w:lvlText w:val=""/>
      <w:lvlJc w:val="left"/>
      <w:pPr>
        <w:ind w:left="4320" w:hanging="360"/>
      </w:pPr>
      <w:rPr>
        <w:rFonts w:ascii="Wingdings" w:hAnsi="Wingdings" w:hint="default"/>
      </w:rPr>
    </w:lvl>
    <w:lvl w:ilvl="6" w:tplc="A76A333A">
      <w:start w:val="1"/>
      <w:numFmt w:val="bullet"/>
      <w:lvlText w:val=""/>
      <w:lvlJc w:val="left"/>
      <w:pPr>
        <w:ind w:left="5040" w:hanging="360"/>
      </w:pPr>
      <w:rPr>
        <w:rFonts w:ascii="Symbol" w:hAnsi="Symbol" w:hint="default"/>
      </w:rPr>
    </w:lvl>
    <w:lvl w:ilvl="7" w:tplc="996E7E44">
      <w:start w:val="1"/>
      <w:numFmt w:val="bullet"/>
      <w:lvlText w:val="o"/>
      <w:lvlJc w:val="left"/>
      <w:pPr>
        <w:ind w:left="5760" w:hanging="360"/>
      </w:pPr>
      <w:rPr>
        <w:rFonts w:ascii="Courier New" w:hAnsi="Courier New" w:hint="default"/>
      </w:rPr>
    </w:lvl>
    <w:lvl w:ilvl="8" w:tplc="7C321246">
      <w:start w:val="1"/>
      <w:numFmt w:val="bullet"/>
      <w:lvlText w:val=""/>
      <w:lvlJc w:val="left"/>
      <w:pPr>
        <w:ind w:left="6480" w:hanging="360"/>
      </w:pPr>
      <w:rPr>
        <w:rFonts w:ascii="Wingdings" w:hAnsi="Wingdings" w:hint="default"/>
      </w:rPr>
    </w:lvl>
  </w:abstractNum>
  <w:abstractNum w:abstractNumId="2" w15:restartNumberingAfterBreak="0">
    <w:nsid w:val="22AD6439"/>
    <w:multiLevelType w:val="hybridMultilevel"/>
    <w:tmpl w:val="FFFFFFFF"/>
    <w:lvl w:ilvl="0" w:tplc="D5EE82E4">
      <w:start w:val="1"/>
      <w:numFmt w:val="bullet"/>
      <w:lvlText w:val=""/>
      <w:lvlJc w:val="left"/>
      <w:pPr>
        <w:ind w:left="720" w:hanging="360"/>
      </w:pPr>
      <w:rPr>
        <w:rFonts w:ascii="Symbol" w:hAnsi="Symbol" w:hint="default"/>
      </w:rPr>
    </w:lvl>
    <w:lvl w:ilvl="1" w:tplc="04EAD47C">
      <w:start w:val="1"/>
      <w:numFmt w:val="bullet"/>
      <w:lvlText w:val="o"/>
      <w:lvlJc w:val="left"/>
      <w:pPr>
        <w:ind w:left="1440" w:hanging="360"/>
      </w:pPr>
      <w:rPr>
        <w:rFonts w:ascii="Courier New" w:hAnsi="Courier New" w:hint="default"/>
      </w:rPr>
    </w:lvl>
    <w:lvl w:ilvl="2" w:tplc="2A66198E">
      <w:start w:val="1"/>
      <w:numFmt w:val="bullet"/>
      <w:lvlText w:val=""/>
      <w:lvlJc w:val="left"/>
      <w:pPr>
        <w:ind w:left="2160" w:hanging="360"/>
      </w:pPr>
      <w:rPr>
        <w:rFonts w:ascii="Wingdings" w:hAnsi="Wingdings" w:hint="default"/>
      </w:rPr>
    </w:lvl>
    <w:lvl w:ilvl="3" w:tplc="D3088540">
      <w:start w:val="1"/>
      <w:numFmt w:val="bullet"/>
      <w:lvlText w:val=""/>
      <w:lvlJc w:val="left"/>
      <w:pPr>
        <w:ind w:left="2880" w:hanging="360"/>
      </w:pPr>
      <w:rPr>
        <w:rFonts w:ascii="Symbol" w:hAnsi="Symbol" w:hint="default"/>
      </w:rPr>
    </w:lvl>
    <w:lvl w:ilvl="4" w:tplc="824E7506">
      <w:start w:val="1"/>
      <w:numFmt w:val="bullet"/>
      <w:lvlText w:val="o"/>
      <w:lvlJc w:val="left"/>
      <w:pPr>
        <w:ind w:left="3600" w:hanging="360"/>
      </w:pPr>
      <w:rPr>
        <w:rFonts w:ascii="Courier New" w:hAnsi="Courier New" w:hint="default"/>
      </w:rPr>
    </w:lvl>
    <w:lvl w:ilvl="5" w:tplc="D30C2086">
      <w:start w:val="1"/>
      <w:numFmt w:val="bullet"/>
      <w:lvlText w:val=""/>
      <w:lvlJc w:val="left"/>
      <w:pPr>
        <w:ind w:left="4320" w:hanging="360"/>
      </w:pPr>
      <w:rPr>
        <w:rFonts w:ascii="Wingdings" w:hAnsi="Wingdings" w:hint="default"/>
      </w:rPr>
    </w:lvl>
    <w:lvl w:ilvl="6" w:tplc="25102A4E">
      <w:start w:val="1"/>
      <w:numFmt w:val="bullet"/>
      <w:lvlText w:val=""/>
      <w:lvlJc w:val="left"/>
      <w:pPr>
        <w:ind w:left="5040" w:hanging="360"/>
      </w:pPr>
      <w:rPr>
        <w:rFonts w:ascii="Symbol" w:hAnsi="Symbol" w:hint="default"/>
      </w:rPr>
    </w:lvl>
    <w:lvl w:ilvl="7" w:tplc="6D9A2538">
      <w:start w:val="1"/>
      <w:numFmt w:val="bullet"/>
      <w:lvlText w:val="o"/>
      <w:lvlJc w:val="left"/>
      <w:pPr>
        <w:ind w:left="5760" w:hanging="360"/>
      </w:pPr>
      <w:rPr>
        <w:rFonts w:ascii="Courier New" w:hAnsi="Courier New" w:hint="default"/>
      </w:rPr>
    </w:lvl>
    <w:lvl w:ilvl="8" w:tplc="32C86F96">
      <w:start w:val="1"/>
      <w:numFmt w:val="bullet"/>
      <w:lvlText w:val=""/>
      <w:lvlJc w:val="left"/>
      <w:pPr>
        <w:ind w:left="6480" w:hanging="360"/>
      </w:pPr>
      <w:rPr>
        <w:rFonts w:ascii="Wingdings" w:hAnsi="Wingdings" w:hint="default"/>
      </w:rPr>
    </w:lvl>
  </w:abstractNum>
  <w:abstractNum w:abstractNumId="3" w15:restartNumberingAfterBreak="0">
    <w:nsid w:val="41633872"/>
    <w:multiLevelType w:val="hybridMultilevel"/>
    <w:tmpl w:val="45505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1CAB57"/>
    <w:multiLevelType w:val="hybridMultilevel"/>
    <w:tmpl w:val="FFFFFFFF"/>
    <w:lvl w:ilvl="0" w:tplc="12BE72B0">
      <w:start w:val="1"/>
      <w:numFmt w:val="bullet"/>
      <w:lvlText w:val=""/>
      <w:lvlJc w:val="left"/>
      <w:pPr>
        <w:ind w:left="720" w:hanging="360"/>
      </w:pPr>
      <w:rPr>
        <w:rFonts w:ascii="Symbol" w:hAnsi="Symbol" w:hint="default"/>
      </w:rPr>
    </w:lvl>
    <w:lvl w:ilvl="1" w:tplc="28AA766A">
      <w:start w:val="1"/>
      <w:numFmt w:val="bullet"/>
      <w:lvlText w:val="o"/>
      <w:lvlJc w:val="left"/>
      <w:pPr>
        <w:ind w:left="1440" w:hanging="360"/>
      </w:pPr>
      <w:rPr>
        <w:rFonts w:ascii="Courier New" w:hAnsi="Courier New" w:hint="default"/>
      </w:rPr>
    </w:lvl>
    <w:lvl w:ilvl="2" w:tplc="3C08823A">
      <w:start w:val="1"/>
      <w:numFmt w:val="bullet"/>
      <w:lvlText w:val=""/>
      <w:lvlJc w:val="left"/>
      <w:pPr>
        <w:ind w:left="2160" w:hanging="360"/>
      </w:pPr>
      <w:rPr>
        <w:rFonts w:ascii="Wingdings" w:hAnsi="Wingdings" w:hint="default"/>
      </w:rPr>
    </w:lvl>
    <w:lvl w:ilvl="3" w:tplc="85629FDC">
      <w:start w:val="1"/>
      <w:numFmt w:val="bullet"/>
      <w:lvlText w:val=""/>
      <w:lvlJc w:val="left"/>
      <w:pPr>
        <w:ind w:left="2880" w:hanging="360"/>
      </w:pPr>
      <w:rPr>
        <w:rFonts w:ascii="Symbol" w:hAnsi="Symbol" w:hint="default"/>
      </w:rPr>
    </w:lvl>
    <w:lvl w:ilvl="4" w:tplc="533EF4D2">
      <w:start w:val="1"/>
      <w:numFmt w:val="bullet"/>
      <w:lvlText w:val="o"/>
      <w:lvlJc w:val="left"/>
      <w:pPr>
        <w:ind w:left="3600" w:hanging="360"/>
      </w:pPr>
      <w:rPr>
        <w:rFonts w:ascii="Courier New" w:hAnsi="Courier New" w:hint="default"/>
      </w:rPr>
    </w:lvl>
    <w:lvl w:ilvl="5" w:tplc="DB90B6CC">
      <w:start w:val="1"/>
      <w:numFmt w:val="bullet"/>
      <w:lvlText w:val=""/>
      <w:lvlJc w:val="left"/>
      <w:pPr>
        <w:ind w:left="4320" w:hanging="360"/>
      </w:pPr>
      <w:rPr>
        <w:rFonts w:ascii="Wingdings" w:hAnsi="Wingdings" w:hint="default"/>
      </w:rPr>
    </w:lvl>
    <w:lvl w:ilvl="6" w:tplc="4EA68E4A">
      <w:start w:val="1"/>
      <w:numFmt w:val="bullet"/>
      <w:lvlText w:val=""/>
      <w:lvlJc w:val="left"/>
      <w:pPr>
        <w:ind w:left="5040" w:hanging="360"/>
      </w:pPr>
      <w:rPr>
        <w:rFonts w:ascii="Symbol" w:hAnsi="Symbol" w:hint="default"/>
      </w:rPr>
    </w:lvl>
    <w:lvl w:ilvl="7" w:tplc="4282F3FE">
      <w:start w:val="1"/>
      <w:numFmt w:val="bullet"/>
      <w:lvlText w:val="o"/>
      <w:lvlJc w:val="left"/>
      <w:pPr>
        <w:ind w:left="5760" w:hanging="360"/>
      </w:pPr>
      <w:rPr>
        <w:rFonts w:ascii="Courier New" w:hAnsi="Courier New" w:hint="default"/>
      </w:rPr>
    </w:lvl>
    <w:lvl w:ilvl="8" w:tplc="FF2CDFF8">
      <w:start w:val="1"/>
      <w:numFmt w:val="bullet"/>
      <w:lvlText w:val=""/>
      <w:lvlJc w:val="left"/>
      <w:pPr>
        <w:ind w:left="6480" w:hanging="360"/>
      </w:pPr>
      <w:rPr>
        <w:rFonts w:ascii="Wingdings" w:hAnsi="Wingdings" w:hint="default"/>
      </w:rPr>
    </w:lvl>
  </w:abstractNum>
  <w:abstractNum w:abstractNumId="5" w15:restartNumberingAfterBreak="0">
    <w:nsid w:val="65C46537"/>
    <w:multiLevelType w:val="hybridMultilevel"/>
    <w:tmpl w:val="924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974ISO" w:val="-1"/>
  </w:docVars>
  <w:rsids>
    <w:rsidRoot w:val="004248BD"/>
    <w:rsid w:val="00011007"/>
    <w:rsid w:val="0001557E"/>
    <w:rsid w:val="0002147D"/>
    <w:rsid w:val="000342B2"/>
    <w:rsid w:val="00044598"/>
    <w:rsid w:val="0005081C"/>
    <w:rsid w:val="00061081"/>
    <w:rsid w:val="000665C3"/>
    <w:rsid w:val="0008650D"/>
    <w:rsid w:val="000A4EE9"/>
    <w:rsid w:val="000B02DA"/>
    <w:rsid w:val="000B2DB3"/>
    <w:rsid w:val="000B51DF"/>
    <w:rsid w:val="000B590D"/>
    <w:rsid w:val="000C7750"/>
    <w:rsid w:val="000D1CD2"/>
    <w:rsid w:val="000D7FFB"/>
    <w:rsid w:val="000E2986"/>
    <w:rsid w:val="001022F5"/>
    <w:rsid w:val="00116E24"/>
    <w:rsid w:val="00116F4B"/>
    <w:rsid w:val="00157984"/>
    <w:rsid w:val="00160FAE"/>
    <w:rsid w:val="00184981"/>
    <w:rsid w:val="001A5ABA"/>
    <w:rsid w:val="001B3C73"/>
    <w:rsid w:val="001B5542"/>
    <w:rsid w:val="001D0F91"/>
    <w:rsid w:val="001E3876"/>
    <w:rsid w:val="001F1E95"/>
    <w:rsid w:val="001F5246"/>
    <w:rsid w:val="002010D3"/>
    <w:rsid w:val="002073F9"/>
    <w:rsid w:val="00214D55"/>
    <w:rsid w:val="00242461"/>
    <w:rsid w:val="00244736"/>
    <w:rsid w:val="00281029"/>
    <w:rsid w:val="002C6A80"/>
    <w:rsid w:val="002C7BEF"/>
    <w:rsid w:val="002E23CA"/>
    <w:rsid w:val="002F135C"/>
    <w:rsid w:val="002F4ACE"/>
    <w:rsid w:val="00300137"/>
    <w:rsid w:val="00300FA0"/>
    <w:rsid w:val="00305B71"/>
    <w:rsid w:val="003114C3"/>
    <w:rsid w:val="003158AA"/>
    <w:rsid w:val="00316252"/>
    <w:rsid w:val="00335D90"/>
    <w:rsid w:val="00352263"/>
    <w:rsid w:val="00355CD7"/>
    <w:rsid w:val="00366FD7"/>
    <w:rsid w:val="00383F6A"/>
    <w:rsid w:val="00393B26"/>
    <w:rsid w:val="003B36F8"/>
    <w:rsid w:val="003C5697"/>
    <w:rsid w:val="003C5E7C"/>
    <w:rsid w:val="003C6855"/>
    <w:rsid w:val="00405FB3"/>
    <w:rsid w:val="00406E01"/>
    <w:rsid w:val="00414B83"/>
    <w:rsid w:val="004248BD"/>
    <w:rsid w:val="00440589"/>
    <w:rsid w:val="0044518A"/>
    <w:rsid w:val="00450EEA"/>
    <w:rsid w:val="004624D7"/>
    <w:rsid w:val="00471364"/>
    <w:rsid w:val="00472C3C"/>
    <w:rsid w:val="0048181E"/>
    <w:rsid w:val="00481863"/>
    <w:rsid w:val="0049158C"/>
    <w:rsid w:val="004915E8"/>
    <w:rsid w:val="004B3EDB"/>
    <w:rsid w:val="004B79CB"/>
    <w:rsid w:val="004C1B95"/>
    <w:rsid w:val="004C3644"/>
    <w:rsid w:val="005242C9"/>
    <w:rsid w:val="0052A43E"/>
    <w:rsid w:val="00537D9E"/>
    <w:rsid w:val="0054016D"/>
    <w:rsid w:val="0056325C"/>
    <w:rsid w:val="0056761D"/>
    <w:rsid w:val="005777A3"/>
    <w:rsid w:val="005824EC"/>
    <w:rsid w:val="00590FC3"/>
    <w:rsid w:val="00592810"/>
    <w:rsid w:val="005962CF"/>
    <w:rsid w:val="005A256D"/>
    <w:rsid w:val="005A2D97"/>
    <w:rsid w:val="005B1074"/>
    <w:rsid w:val="005B4812"/>
    <w:rsid w:val="005C0F44"/>
    <w:rsid w:val="005E0990"/>
    <w:rsid w:val="005F4D5B"/>
    <w:rsid w:val="006116CA"/>
    <w:rsid w:val="00615D38"/>
    <w:rsid w:val="00631925"/>
    <w:rsid w:val="00631F53"/>
    <w:rsid w:val="00637DA3"/>
    <w:rsid w:val="00651061"/>
    <w:rsid w:val="006513F4"/>
    <w:rsid w:val="00664BBB"/>
    <w:rsid w:val="006714C1"/>
    <w:rsid w:val="00677B93"/>
    <w:rsid w:val="006B3F4B"/>
    <w:rsid w:val="006B7520"/>
    <w:rsid w:val="006D0849"/>
    <w:rsid w:val="006E51D2"/>
    <w:rsid w:val="006F32C1"/>
    <w:rsid w:val="007034B1"/>
    <w:rsid w:val="00704B78"/>
    <w:rsid w:val="00710FA8"/>
    <w:rsid w:val="00735D60"/>
    <w:rsid w:val="00742C1A"/>
    <w:rsid w:val="007500CA"/>
    <w:rsid w:val="0077404D"/>
    <w:rsid w:val="00777AC5"/>
    <w:rsid w:val="0078302B"/>
    <w:rsid w:val="007A45A5"/>
    <w:rsid w:val="007D3817"/>
    <w:rsid w:val="007D6248"/>
    <w:rsid w:val="007F0E18"/>
    <w:rsid w:val="00807A16"/>
    <w:rsid w:val="00823BBF"/>
    <w:rsid w:val="00831B74"/>
    <w:rsid w:val="008412DA"/>
    <w:rsid w:val="00841D26"/>
    <w:rsid w:val="008537A5"/>
    <w:rsid w:val="008537C7"/>
    <w:rsid w:val="00863150"/>
    <w:rsid w:val="008812A2"/>
    <w:rsid w:val="008A2FD9"/>
    <w:rsid w:val="008A5B93"/>
    <w:rsid w:val="008F1882"/>
    <w:rsid w:val="008F378F"/>
    <w:rsid w:val="008F488D"/>
    <w:rsid w:val="00907D0F"/>
    <w:rsid w:val="009177A1"/>
    <w:rsid w:val="009226D7"/>
    <w:rsid w:val="009308F2"/>
    <w:rsid w:val="00930ACA"/>
    <w:rsid w:val="009312D9"/>
    <w:rsid w:val="0093131A"/>
    <w:rsid w:val="00933EAD"/>
    <w:rsid w:val="00956191"/>
    <w:rsid w:val="00965CF5"/>
    <w:rsid w:val="00981D31"/>
    <w:rsid w:val="00982210"/>
    <w:rsid w:val="00992B2D"/>
    <w:rsid w:val="009C3360"/>
    <w:rsid w:val="009D07D2"/>
    <w:rsid w:val="009D0F11"/>
    <w:rsid w:val="009D4963"/>
    <w:rsid w:val="009E2FBD"/>
    <w:rsid w:val="009F61CD"/>
    <w:rsid w:val="00A04C96"/>
    <w:rsid w:val="00A13B92"/>
    <w:rsid w:val="00A706EF"/>
    <w:rsid w:val="00A709F7"/>
    <w:rsid w:val="00A75973"/>
    <w:rsid w:val="00A87613"/>
    <w:rsid w:val="00A87D5B"/>
    <w:rsid w:val="00A92AE6"/>
    <w:rsid w:val="00A964F5"/>
    <w:rsid w:val="00AB0D19"/>
    <w:rsid w:val="00AB3EBB"/>
    <w:rsid w:val="00AC19F7"/>
    <w:rsid w:val="00AC31B9"/>
    <w:rsid w:val="00AD0837"/>
    <w:rsid w:val="00AD5A75"/>
    <w:rsid w:val="00AE5C07"/>
    <w:rsid w:val="00AF1221"/>
    <w:rsid w:val="00AF559D"/>
    <w:rsid w:val="00B0423C"/>
    <w:rsid w:val="00B10783"/>
    <w:rsid w:val="00B2553F"/>
    <w:rsid w:val="00B3075F"/>
    <w:rsid w:val="00B349A0"/>
    <w:rsid w:val="00B34E9D"/>
    <w:rsid w:val="00B3630C"/>
    <w:rsid w:val="00B37029"/>
    <w:rsid w:val="00B3792D"/>
    <w:rsid w:val="00B417A7"/>
    <w:rsid w:val="00B52359"/>
    <w:rsid w:val="00B541F0"/>
    <w:rsid w:val="00B64DFE"/>
    <w:rsid w:val="00B77799"/>
    <w:rsid w:val="00B77B04"/>
    <w:rsid w:val="00B876F4"/>
    <w:rsid w:val="00B95EC6"/>
    <w:rsid w:val="00BA338D"/>
    <w:rsid w:val="00BA4CF3"/>
    <w:rsid w:val="00BB65B1"/>
    <w:rsid w:val="00BC6073"/>
    <w:rsid w:val="00BD1249"/>
    <w:rsid w:val="00BD72F7"/>
    <w:rsid w:val="00BE5671"/>
    <w:rsid w:val="00C036DC"/>
    <w:rsid w:val="00C1254E"/>
    <w:rsid w:val="00C129B9"/>
    <w:rsid w:val="00C24D3A"/>
    <w:rsid w:val="00C30F5E"/>
    <w:rsid w:val="00C33E85"/>
    <w:rsid w:val="00C408D1"/>
    <w:rsid w:val="00C431F1"/>
    <w:rsid w:val="00C630BD"/>
    <w:rsid w:val="00CB1795"/>
    <w:rsid w:val="00CB436A"/>
    <w:rsid w:val="00CC0EB7"/>
    <w:rsid w:val="00CE5C7D"/>
    <w:rsid w:val="00CE6BE5"/>
    <w:rsid w:val="00CF43EE"/>
    <w:rsid w:val="00D131BD"/>
    <w:rsid w:val="00D25A53"/>
    <w:rsid w:val="00D26FEF"/>
    <w:rsid w:val="00D30650"/>
    <w:rsid w:val="00D36C4F"/>
    <w:rsid w:val="00D3726C"/>
    <w:rsid w:val="00D62360"/>
    <w:rsid w:val="00D6268F"/>
    <w:rsid w:val="00D8241D"/>
    <w:rsid w:val="00D86CE3"/>
    <w:rsid w:val="00D97AEC"/>
    <w:rsid w:val="00DC3084"/>
    <w:rsid w:val="00DD56EE"/>
    <w:rsid w:val="00DF4E03"/>
    <w:rsid w:val="00DF4F6B"/>
    <w:rsid w:val="00DF6354"/>
    <w:rsid w:val="00E014BA"/>
    <w:rsid w:val="00E26A57"/>
    <w:rsid w:val="00E50473"/>
    <w:rsid w:val="00E60C4A"/>
    <w:rsid w:val="00E610C7"/>
    <w:rsid w:val="00E62EEB"/>
    <w:rsid w:val="00E7724E"/>
    <w:rsid w:val="00E84C9E"/>
    <w:rsid w:val="00EB1E52"/>
    <w:rsid w:val="00EB30F5"/>
    <w:rsid w:val="00ED12B4"/>
    <w:rsid w:val="00EE5FD1"/>
    <w:rsid w:val="00EF40A6"/>
    <w:rsid w:val="00F27817"/>
    <w:rsid w:val="00F31377"/>
    <w:rsid w:val="00F34C20"/>
    <w:rsid w:val="00F37030"/>
    <w:rsid w:val="00F37B2E"/>
    <w:rsid w:val="00F44D4D"/>
    <w:rsid w:val="00F4583B"/>
    <w:rsid w:val="00F46A08"/>
    <w:rsid w:val="00F526DB"/>
    <w:rsid w:val="00F62B06"/>
    <w:rsid w:val="00F63D17"/>
    <w:rsid w:val="00F65050"/>
    <w:rsid w:val="00F67404"/>
    <w:rsid w:val="00F96DC9"/>
    <w:rsid w:val="00FC683C"/>
    <w:rsid w:val="00FD6A10"/>
    <w:rsid w:val="00FF34B2"/>
    <w:rsid w:val="00FF7FD4"/>
    <w:rsid w:val="01C435ED"/>
    <w:rsid w:val="049061C2"/>
    <w:rsid w:val="052A1170"/>
    <w:rsid w:val="067AD3B7"/>
    <w:rsid w:val="0CA83C8A"/>
    <w:rsid w:val="0E322262"/>
    <w:rsid w:val="10C3B235"/>
    <w:rsid w:val="1196D2D8"/>
    <w:rsid w:val="1294A305"/>
    <w:rsid w:val="149D3A42"/>
    <w:rsid w:val="15925FE2"/>
    <w:rsid w:val="1D3CE204"/>
    <w:rsid w:val="1DE59508"/>
    <w:rsid w:val="2132977B"/>
    <w:rsid w:val="214A76A0"/>
    <w:rsid w:val="22F26877"/>
    <w:rsid w:val="2549744B"/>
    <w:rsid w:val="28AA2118"/>
    <w:rsid w:val="2A67601B"/>
    <w:rsid w:val="2CC4CA83"/>
    <w:rsid w:val="2DB587FD"/>
    <w:rsid w:val="2DB8FBF9"/>
    <w:rsid w:val="31464418"/>
    <w:rsid w:val="318C4E26"/>
    <w:rsid w:val="3297A858"/>
    <w:rsid w:val="330366CA"/>
    <w:rsid w:val="3309A735"/>
    <w:rsid w:val="3441F0DD"/>
    <w:rsid w:val="347156D7"/>
    <w:rsid w:val="34A57796"/>
    <w:rsid w:val="3B4ABBD2"/>
    <w:rsid w:val="3D383940"/>
    <w:rsid w:val="3E7EF4F5"/>
    <w:rsid w:val="3F9D5F70"/>
    <w:rsid w:val="3FA81678"/>
    <w:rsid w:val="41745E52"/>
    <w:rsid w:val="44082288"/>
    <w:rsid w:val="4651D599"/>
    <w:rsid w:val="470CB8F2"/>
    <w:rsid w:val="49B04089"/>
    <w:rsid w:val="49D2182A"/>
    <w:rsid w:val="49D80172"/>
    <w:rsid w:val="4AFFCFA1"/>
    <w:rsid w:val="4E98DCE0"/>
    <w:rsid w:val="4F07594E"/>
    <w:rsid w:val="5188E391"/>
    <w:rsid w:val="5339958B"/>
    <w:rsid w:val="53AF1706"/>
    <w:rsid w:val="548BC184"/>
    <w:rsid w:val="550EFD7F"/>
    <w:rsid w:val="596A04DA"/>
    <w:rsid w:val="5DD9F7FE"/>
    <w:rsid w:val="5E346D70"/>
    <w:rsid w:val="5EAF9D3F"/>
    <w:rsid w:val="635AC8A8"/>
    <w:rsid w:val="6413FFD7"/>
    <w:rsid w:val="64DE95A3"/>
    <w:rsid w:val="653D535B"/>
    <w:rsid w:val="65503D7E"/>
    <w:rsid w:val="6A4FD6BF"/>
    <w:rsid w:val="6A68F226"/>
    <w:rsid w:val="6D242E31"/>
    <w:rsid w:val="7147A55B"/>
    <w:rsid w:val="75685903"/>
    <w:rsid w:val="7695DC0B"/>
    <w:rsid w:val="76F58707"/>
    <w:rsid w:val="76F6E004"/>
    <w:rsid w:val="76F96FBA"/>
    <w:rsid w:val="77227BC5"/>
    <w:rsid w:val="77E66545"/>
    <w:rsid w:val="7831AC6C"/>
    <w:rsid w:val="78787415"/>
    <w:rsid w:val="7A2E80C6"/>
    <w:rsid w:val="7A9B91AD"/>
    <w:rsid w:val="7CFBAF28"/>
    <w:rsid w:val="7E669663"/>
    <w:rsid w:val="7FE63F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4B8A1"/>
  <w15:chartTrackingRefBased/>
  <w15:docId w15:val="{B6BFCF14-DBC9-4B0A-BA69-7E79B63F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5A5"/>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Hyperlink">
    <w:name w:val="Hyperlink"/>
    <w:basedOn w:val="DefaultParagraphFont"/>
    <w:rsid w:val="00316252"/>
    <w:rPr>
      <w:color w:val="0563C1" w:themeColor="hyperlink"/>
      <w:u w:val="single"/>
    </w:rPr>
  </w:style>
  <w:style w:type="character" w:customStyle="1" w:styleId="UnresolvedMention">
    <w:name w:val="Unresolved Mention"/>
    <w:basedOn w:val="DefaultParagraphFont"/>
    <w:uiPriority w:val="99"/>
    <w:semiHidden/>
    <w:unhideWhenUsed/>
    <w:rsid w:val="00316252"/>
    <w:rPr>
      <w:color w:val="605E5C"/>
      <w:shd w:val="clear" w:color="auto" w:fill="E1DFDD"/>
    </w:rPr>
  </w:style>
  <w:style w:type="paragraph" w:styleId="Revision">
    <w:name w:val="Revision"/>
    <w:hidden/>
    <w:uiPriority w:val="99"/>
    <w:semiHidden/>
    <w:rsid w:val="001022F5"/>
    <w:rPr>
      <w:rFonts w:ascii="Arial" w:hAnsi="Arial" w:cs="Arial"/>
      <w:sz w:val="22"/>
      <w:szCs w:val="22"/>
      <w:lang w:val="en-GB" w:eastAsia="en-US"/>
    </w:rPr>
  </w:style>
  <w:style w:type="paragraph" w:customStyle="1" w:styleId="SectionTitle">
    <w:name w:val="SectionTitle"/>
    <w:basedOn w:val="Normal"/>
    <w:uiPriority w:val="1"/>
    <w:rsid w:val="6A68F226"/>
    <w:pPr>
      <w:keepNext/>
      <w:spacing w:before="120" w:after="120"/>
      <w:jc w:val="center"/>
    </w:pPr>
    <w:rPr>
      <w:b/>
      <w:bCs/>
      <w:smallCaps/>
      <w:sz w:val="20"/>
      <w:szCs w:val="20"/>
    </w:rPr>
  </w:style>
  <w:style w:type="paragraph" w:styleId="ListParagraph">
    <w:name w:val="List Paragraph"/>
    <w:basedOn w:val="Normal"/>
    <w:uiPriority w:val="34"/>
    <w:qFormat/>
    <w:rsid w:val="005F4D5B"/>
    <w:pPr>
      <w:ind w:left="720"/>
      <w:contextualSpacing/>
    </w:pPr>
  </w:style>
  <w:style w:type="paragraph" w:customStyle="1" w:styleId="pf0">
    <w:name w:val="pf0"/>
    <w:basedOn w:val="Normal"/>
    <w:uiPriority w:val="1"/>
    <w:rsid w:val="005F4D5B"/>
    <w:pPr>
      <w:spacing w:beforeAutospacing="1" w:afterAutospacing="1"/>
    </w:pPr>
    <w:rPr>
      <w:rFonts w:ascii="Times New Roman" w:hAnsi="Times New Roman" w:cs="Times New Roman"/>
      <w:sz w:val="24"/>
      <w:szCs w:val="24"/>
    </w:rPr>
  </w:style>
  <w:style w:type="paragraph" w:customStyle="1" w:styleId="SubSectionTitle">
    <w:name w:val="SubSectionTitle"/>
    <w:basedOn w:val="Normal"/>
    <w:link w:val="SubSectionTitleChar"/>
    <w:uiPriority w:val="1"/>
    <w:rsid w:val="005F4D5B"/>
    <w:pPr>
      <w:keepNext/>
      <w:keepLines/>
      <w:tabs>
        <w:tab w:val="num" w:pos="397"/>
      </w:tabs>
      <w:spacing w:before="120" w:after="120"/>
      <w:ind w:left="1440" w:hanging="360"/>
    </w:pPr>
    <w:rPr>
      <w:b/>
      <w:bCs/>
      <w:sz w:val="20"/>
      <w:szCs w:val="20"/>
    </w:rPr>
  </w:style>
  <w:style w:type="character" w:customStyle="1" w:styleId="SubSectionTitleChar">
    <w:name w:val="SubSectionTitle Char"/>
    <w:basedOn w:val="DefaultParagraphFont"/>
    <w:link w:val="SubSectionTitle"/>
    <w:uiPriority w:val="1"/>
    <w:rsid w:val="005F4D5B"/>
    <w:rPr>
      <w:rFonts w:ascii="Arial" w:hAnsi="Arial"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424">
      <w:bodyDiv w:val="1"/>
      <w:marLeft w:val="0"/>
      <w:marRight w:val="0"/>
      <w:marTop w:val="0"/>
      <w:marBottom w:val="0"/>
      <w:divBdr>
        <w:top w:val="none" w:sz="0" w:space="0" w:color="auto"/>
        <w:left w:val="none" w:sz="0" w:space="0" w:color="auto"/>
        <w:bottom w:val="none" w:sz="0" w:space="0" w:color="auto"/>
        <w:right w:val="none" w:sz="0" w:space="0" w:color="auto"/>
      </w:divBdr>
    </w:div>
    <w:div w:id="1057513123">
      <w:bodyDiv w:val="1"/>
      <w:marLeft w:val="0"/>
      <w:marRight w:val="0"/>
      <w:marTop w:val="0"/>
      <w:marBottom w:val="0"/>
      <w:divBdr>
        <w:top w:val="none" w:sz="0" w:space="0" w:color="auto"/>
        <w:left w:val="none" w:sz="0" w:space="0" w:color="auto"/>
        <w:bottom w:val="none" w:sz="0" w:space="0" w:color="auto"/>
        <w:right w:val="none" w:sz="0" w:space="0" w:color="auto"/>
      </w:divBdr>
    </w:div>
    <w:div w:id="1530071602">
      <w:bodyDiv w:val="1"/>
      <w:marLeft w:val="0"/>
      <w:marRight w:val="0"/>
      <w:marTop w:val="0"/>
      <w:marBottom w:val="0"/>
      <w:divBdr>
        <w:top w:val="none" w:sz="0" w:space="0" w:color="auto"/>
        <w:left w:val="none" w:sz="0" w:space="0" w:color="auto"/>
        <w:bottom w:val="none" w:sz="0" w:space="0" w:color="auto"/>
        <w:right w:val="none" w:sz="0" w:space="0" w:color="auto"/>
      </w:divBdr>
    </w:div>
    <w:div w:id="16317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8895d-0cde-4411-9763-efa1c11cf6f3" xsi:nil="true"/>
    <lcf76f155ced4ddcb4097134ff3c332f xmlns="d11a8474-885b-4e1b-a09c-10d71c0026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17" ma:contentTypeDescription="Create a new document." ma:contentTypeScope="" ma:versionID="de78c2b1225dcd9cd22011ad7eba40e7">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5aa324147b5300137eb62a371e3bcd13"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d9f8895d-0cde-4411-9763-efa1c11cf6f3"/>
    <ds:schemaRef ds:uri="d11a8474-885b-4e1b-a09c-10d71c0026be"/>
  </ds:schemaRefs>
</ds:datastoreItem>
</file>

<file path=customXml/itemProps3.xml><?xml version="1.0" encoding="utf-8"?>
<ds:datastoreItem xmlns:ds="http://schemas.openxmlformats.org/officeDocument/2006/customXml" ds:itemID="{5CC8BF81-0392-4584-A873-271E1F69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agostinho fernando</cp:lastModifiedBy>
  <cp:revision>2</cp:revision>
  <cp:lastPrinted>2001-10-26T07:04:00Z</cp:lastPrinted>
  <dcterms:created xsi:type="dcterms:W3CDTF">2023-11-10T12:32:00Z</dcterms:created>
  <dcterms:modified xsi:type="dcterms:W3CDTF">2023-11-10T12:32:00Z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y fmtid="{D5CDD505-2E9C-101B-9397-08002B2CF9AE}" pid="4" name="MediaServiceImageTags">
    <vt:lpwstr/>
  </property>
  <property fmtid="{D5CDD505-2E9C-101B-9397-08002B2CF9AE}" pid="5" name="GrammarlyDocumentId">
    <vt:lpwstr>7ac7a25a68d988f3be800363258e9071a0bb154d1ac9d65d8266c6e94a00dbbd</vt:lpwstr>
  </property>
</Properties>
</file>