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4AFD" w14:textId="77777777" w:rsidR="005B1074" w:rsidRDefault="00777AC5" w:rsidP="005B1074">
      <w:pPr>
        <w:pStyle w:val="StyleRegHead111pt"/>
        <w:numPr>
          <w:ilvl w:val="0"/>
          <w:numId w:val="0"/>
        </w:numPr>
      </w:pPr>
      <w:r>
        <w:t>TABLE</w:t>
      </w:r>
      <w:r w:rsidR="005B1074">
        <w:t xml:space="preserve"> FOR COMMENTS</w:t>
      </w:r>
    </w:p>
    <w:p w14:paraId="509F9590" w14:textId="3737DF50" w:rsidR="00E60C4A" w:rsidRDefault="00E60C4A" w:rsidP="00E60C4A">
      <w:pPr>
        <w:pStyle w:val="StyleRegHead111pt"/>
        <w:numPr>
          <w:ilvl w:val="0"/>
          <w:numId w:val="0"/>
        </w:numPr>
        <w:jc w:val="left"/>
      </w:pPr>
      <w:r>
        <w:t xml:space="preserve">Name of submitter: </w:t>
      </w:r>
      <w:r w:rsidR="008568BC">
        <w:tab/>
      </w:r>
      <w:r w:rsidR="008568BC">
        <w:tab/>
      </w:r>
      <w:r w:rsidR="008568BC">
        <w:tab/>
      </w:r>
      <w:r w:rsidR="008568BC">
        <w:tab/>
        <w:t>Erik Wurster</w:t>
      </w:r>
    </w:p>
    <w:p w14:paraId="1539A45C" w14:textId="757ED94D" w:rsidR="00E60C4A" w:rsidRDefault="00E60C4A" w:rsidP="00E60C4A">
      <w:pPr>
        <w:pStyle w:val="StyleRegHead111pt"/>
        <w:numPr>
          <w:ilvl w:val="0"/>
          <w:numId w:val="0"/>
        </w:numPr>
        <w:jc w:val="left"/>
      </w:pPr>
      <w:r>
        <w:t>Affiliated organization of the submitter</w:t>
      </w:r>
      <w:r w:rsidR="006D0849">
        <w:t xml:space="preserve"> (if any)</w:t>
      </w:r>
      <w:r>
        <w:t xml:space="preserve">: </w:t>
      </w:r>
      <w:r w:rsidR="008568BC">
        <w:tab/>
        <w:t>BioLite</w:t>
      </w:r>
    </w:p>
    <w:p w14:paraId="5F63183D" w14:textId="4D5A4FCB" w:rsidR="00E60C4A" w:rsidRPr="007F243D" w:rsidRDefault="00E60C4A" w:rsidP="00E60C4A">
      <w:pPr>
        <w:pStyle w:val="StyleRegHead111pt"/>
        <w:numPr>
          <w:ilvl w:val="0"/>
          <w:numId w:val="0"/>
        </w:numPr>
        <w:jc w:val="left"/>
      </w:pPr>
      <w:r>
        <w:t>Contact email of submitter</w:t>
      </w:r>
      <w:r w:rsidR="008568BC">
        <w:t xml:space="preserve">: </w:t>
      </w:r>
      <w:r w:rsidR="008568BC">
        <w:tab/>
      </w:r>
      <w:r w:rsidR="008568BC">
        <w:tab/>
      </w:r>
      <w:r w:rsidR="008568BC">
        <w:tab/>
        <w:t>erik@bioliteenergy.com</w:t>
      </w:r>
    </w:p>
    <w:p w14:paraId="77A5CC8D" w14:textId="77777777" w:rsidR="005B1074" w:rsidRPr="00035035" w:rsidRDefault="005B1074" w:rsidP="005B1074"/>
    <w:p w14:paraId="2EA528BF" w14:textId="77777777" w:rsidR="00DF4F6B" w:rsidRDefault="00DF4F6B">
      <w:pPr>
        <w:spacing w:line="240" w:lineRule="exact"/>
      </w:pPr>
    </w:p>
    <w:tbl>
      <w:tblPr>
        <w:tblW w:w="15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0"/>
        <w:gridCol w:w="1388"/>
        <w:gridCol w:w="1022"/>
        <w:gridCol w:w="992"/>
        <w:gridCol w:w="4762"/>
        <w:gridCol w:w="4253"/>
        <w:gridCol w:w="2552"/>
      </w:tblGrid>
      <w:tr w:rsidR="00863150" w14:paraId="44974AB3" w14:textId="77777777" w:rsidTr="00863150">
        <w:trPr>
          <w:cantSplit/>
          <w:tblHeader/>
          <w:jc w:val="center"/>
        </w:trPr>
        <w:tc>
          <w:tcPr>
            <w:tcW w:w="360" w:type="dxa"/>
            <w:tcBorders>
              <w:top w:val="single" w:sz="6" w:space="0" w:color="auto"/>
              <w:left w:val="single" w:sz="6" w:space="0" w:color="auto"/>
              <w:bottom w:val="single" w:sz="6" w:space="0" w:color="auto"/>
              <w:right w:val="single" w:sz="6" w:space="0" w:color="auto"/>
            </w:tcBorders>
          </w:tcPr>
          <w:p w14:paraId="1118F40B" w14:textId="77777777" w:rsidR="00863150" w:rsidRDefault="00863150">
            <w:pPr>
              <w:keepLines/>
              <w:spacing w:before="40" w:after="40" w:line="180" w:lineRule="exact"/>
              <w:jc w:val="center"/>
              <w:rPr>
                <w:b/>
                <w:bCs/>
                <w:sz w:val="16"/>
                <w:szCs w:val="16"/>
              </w:rPr>
            </w:pPr>
            <w:r>
              <w:rPr>
                <w:b/>
                <w:bCs/>
                <w:sz w:val="16"/>
                <w:szCs w:val="16"/>
              </w:rPr>
              <w:t>0</w:t>
            </w:r>
          </w:p>
        </w:tc>
        <w:tc>
          <w:tcPr>
            <w:tcW w:w="1388" w:type="dxa"/>
            <w:tcBorders>
              <w:top w:val="single" w:sz="6" w:space="0" w:color="auto"/>
              <w:left w:val="single" w:sz="6" w:space="0" w:color="auto"/>
              <w:bottom w:val="single" w:sz="6" w:space="0" w:color="auto"/>
              <w:right w:val="single" w:sz="6" w:space="0" w:color="auto"/>
            </w:tcBorders>
          </w:tcPr>
          <w:p w14:paraId="0556F682" w14:textId="77777777" w:rsidR="00863150" w:rsidRDefault="00863150">
            <w:pPr>
              <w:keepLines/>
              <w:spacing w:before="40" w:after="40" w:line="180" w:lineRule="exact"/>
              <w:jc w:val="center"/>
              <w:rPr>
                <w:b/>
                <w:bCs/>
                <w:sz w:val="16"/>
                <w:szCs w:val="16"/>
              </w:rPr>
            </w:pPr>
            <w:r>
              <w:rPr>
                <w:b/>
                <w:bCs/>
                <w:sz w:val="16"/>
                <w:szCs w:val="16"/>
              </w:rPr>
              <w:t>1</w:t>
            </w:r>
          </w:p>
        </w:tc>
        <w:tc>
          <w:tcPr>
            <w:tcW w:w="1022" w:type="dxa"/>
            <w:tcBorders>
              <w:top w:val="single" w:sz="6" w:space="0" w:color="auto"/>
              <w:left w:val="single" w:sz="6" w:space="0" w:color="auto"/>
              <w:bottom w:val="single" w:sz="6" w:space="0" w:color="auto"/>
              <w:right w:val="single" w:sz="6" w:space="0" w:color="auto"/>
            </w:tcBorders>
          </w:tcPr>
          <w:p w14:paraId="743B88A7" w14:textId="77777777" w:rsidR="00863150" w:rsidRDefault="00863150">
            <w:pPr>
              <w:keepLines/>
              <w:spacing w:before="40" w:after="40" w:line="180" w:lineRule="exact"/>
              <w:jc w:val="center"/>
              <w:rPr>
                <w:b/>
                <w:bCs/>
                <w:sz w:val="16"/>
                <w:szCs w:val="16"/>
              </w:rPr>
            </w:pPr>
            <w:r>
              <w:rPr>
                <w:b/>
                <w:bCs/>
                <w:sz w:val="16"/>
                <w:szCs w:val="16"/>
              </w:rPr>
              <w:t>2</w:t>
            </w:r>
          </w:p>
        </w:tc>
        <w:tc>
          <w:tcPr>
            <w:tcW w:w="992" w:type="dxa"/>
            <w:tcBorders>
              <w:top w:val="single" w:sz="6" w:space="0" w:color="auto"/>
              <w:left w:val="single" w:sz="6" w:space="0" w:color="auto"/>
              <w:bottom w:val="single" w:sz="6" w:space="0" w:color="auto"/>
              <w:right w:val="single" w:sz="6" w:space="0" w:color="auto"/>
            </w:tcBorders>
          </w:tcPr>
          <w:p w14:paraId="2AF66E0C" w14:textId="77777777" w:rsidR="00863150" w:rsidRDefault="00863150">
            <w:pPr>
              <w:keepLines/>
              <w:spacing w:before="40" w:after="40" w:line="180" w:lineRule="exact"/>
              <w:jc w:val="center"/>
              <w:rPr>
                <w:b/>
                <w:bCs/>
                <w:sz w:val="16"/>
                <w:szCs w:val="16"/>
              </w:rPr>
            </w:pPr>
            <w:r>
              <w:rPr>
                <w:b/>
                <w:bCs/>
                <w:sz w:val="16"/>
                <w:szCs w:val="16"/>
              </w:rPr>
              <w:t>3</w:t>
            </w:r>
          </w:p>
        </w:tc>
        <w:tc>
          <w:tcPr>
            <w:tcW w:w="4762" w:type="dxa"/>
            <w:tcBorders>
              <w:top w:val="single" w:sz="6" w:space="0" w:color="auto"/>
              <w:left w:val="single" w:sz="6" w:space="0" w:color="auto"/>
              <w:bottom w:val="single" w:sz="6" w:space="0" w:color="auto"/>
              <w:right w:val="single" w:sz="6" w:space="0" w:color="auto"/>
            </w:tcBorders>
          </w:tcPr>
          <w:p w14:paraId="4AE8941B" w14:textId="77777777" w:rsidR="00863150" w:rsidRDefault="00863150">
            <w:pPr>
              <w:keepLines/>
              <w:spacing w:before="40" w:after="40" w:line="180" w:lineRule="exact"/>
              <w:jc w:val="center"/>
              <w:rPr>
                <w:b/>
                <w:bCs/>
                <w:sz w:val="16"/>
                <w:szCs w:val="16"/>
              </w:rPr>
            </w:pPr>
            <w:r>
              <w:rPr>
                <w:b/>
                <w:bCs/>
                <w:sz w:val="16"/>
                <w:szCs w:val="16"/>
              </w:rPr>
              <w:t>4</w:t>
            </w:r>
          </w:p>
        </w:tc>
        <w:tc>
          <w:tcPr>
            <w:tcW w:w="4253" w:type="dxa"/>
            <w:tcBorders>
              <w:top w:val="single" w:sz="6" w:space="0" w:color="auto"/>
              <w:left w:val="single" w:sz="6" w:space="0" w:color="auto"/>
              <w:bottom w:val="single" w:sz="6" w:space="0" w:color="auto"/>
              <w:right w:val="single" w:sz="6" w:space="0" w:color="auto"/>
            </w:tcBorders>
          </w:tcPr>
          <w:p w14:paraId="5786B02A" w14:textId="77777777" w:rsidR="00863150" w:rsidRDefault="00863150">
            <w:pPr>
              <w:keepLines/>
              <w:spacing w:before="40" w:after="40" w:line="180" w:lineRule="exact"/>
              <w:jc w:val="center"/>
              <w:rPr>
                <w:b/>
                <w:bCs/>
                <w:sz w:val="16"/>
                <w:szCs w:val="16"/>
              </w:rPr>
            </w:pPr>
            <w:r>
              <w:rPr>
                <w:b/>
                <w:bCs/>
                <w:sz w:val="16"/>
                <w:szCs w:val="16"/>
              </w:rPr>
              <w:t>5</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5212BB9" w14:textId="77777777" w:rsidR="00863150" w:rsidRDefault="00863150">
            <w:pPr>
              <w:keepLines/>
              <w:spacing w:before="40" w:after="40" w:line="180" w:lineRule="exact"/>
              <w:jc w:val="center"/>
              <w:rPr>
                <w:b/>
                <w:bCs/>
                <w:sz w:val="16"/>
                <w:szCs w:val="16"/>
              </w:rPr>
            </w:pPr>
            <w:r>
              <w:rPr>
                <w:b/>
                <w:bCs/>
                <w:sz w:val="16"/>
                <w:szCs w:val="16"/>
              </w:rPr>
              <w:t>6</w:t>
            </w:r>
          </w:p>
        </w:tc>
      </w:tr>
      <w:tr w:rsidR="00863150" w14:paraId="48486F42" w14:textId="77777777" w:rsidTr="00863150">
        <w:trPr>
          <w:cantSplit/>
          <w:tblHeader/>
          <w:jc w:val="center"/>
        </w:trPr>
        <w:tc>
          <w:tcPr>
            <w:tcW w:w="360" w:type="dxa"/>
            <w:tcBorders>
              <w:top w:val="single" w:sz="6" w:space="0" w:color="auto"/>
              <w:left w:val="single" w:sz="6" w:space="0" w:color="auto"/>
              <w:bottom w:val="single" w:sz="6" w:space="0" w:color="auto"/>
              <w:right w:val="single" w:sz="6" w:space="0" w:color="auto"/>
            </w:tcBorders>
            <w:shd w:val="clear" w:color="auto" w:fill="E6E6E6"/>
          </w:tcPr>
          <w:p w14:paraId="7B197D7B" w14:textId="77777777" w:rsidR="00863150" w:rsidRDefault="00863150">
            <w:pPr>
              <w:keepLines/>
              <w:spacing w:before="40" w:after="40" w:line="190" w:lineRule="exact"/>
              <w:jc w:val="center"/>
              <w:rPr>
                <w:b/>
                <w:bCs/>
                <w:sz w:val="16"/>
                <w:szCs w:val="16"/>
              </w:rPr>
            </w:pPr>
            <w:r>
              <w:rPr>
                <w:b/>
                <w:bCs/>
                <w:sz w:val="16"/>
                <w:szCs w:val="16"/>
              </w:rPr>
              <w:t>#</w:t>
            </w:r>
          </w:p>
          <w:p w14:paraId="1BEFCA54" w14:textId="77777777" w:rsidR="00863150" w:rsidRDefault="00863150" w:rsidP="005242C9">
            <w:pPr>
              <w:keepLines/>
              <w:spacing w:before="40" w:after="40" w:line="190" w:lineRule="exact"/>
              <w:rPr>
                <w:b/>
                <w:bCs/>
                <w:sz w:val="16"/>
                <w:szCs w:val="16"/>
              </w:rPr>
            </w:pPr>
          </w:p>
        </w:tc>
        <w:tc>
          <w:tcPr>
            <w:tcW w:w="1388" w:type="dxa"/>
            <w:tcBorders>
              <w:top w:val="single" w:sz="6" w:space="0" w:color="auto"/>
              <w:left w:val="single" w:sz="6" w:space="0" w:color="auto"/>
              <w:bottom w:val="single" w:sz="6" w:space="0" w:color="auto"/>
              <w:right w:val="single" w:sz="6" w:space="0" w:color="auto"/>
            </w:tcBorders>
            <w:shd w:val="clear" w:color="auto" w:fill="E6E6E6"/>
          </w:tcPr>
          <w:p w14:paraId="5931A8B1" w14:textId="77777777" w:rsidR="00863150" w:rsidRDefault="00863150">
            <w:pPr>
              <w:keepLines/>
              <w:spacing w:before="40" w:after="40" w:line="190" w:lineRule="exact"/>
              <w:jc w:val="center"/>
              <w:rPr>
                <w:b/>
                <w:bCs/>
                <w:sz w:val="16"/>
                <w:szCs w:val="16"/>
              </w:rPr>
            </w:pPr>
            <w:smartTag w:uri="urn:schemas-microsoft-com:office:smarttags" w:element="place">
              <w:r>
                <w:rPr>
                  <w:b/>
                  <w:bCs/>
                  <w:sz w:val="16"/>
                  <w:szCs w:val="16"/>
                </w:rPr>
                <w:t>Para</w:t>
              </w:r>
            </w:smartTag>
            <w:r>
              <w:rPr>
                <w:b/>
                <w:bCs/>
                <w:sz w:val="16"/>
                <w:szCs w:val="16"/>
              </w:rPr>
              <w:t xml:space="preserve"> No./</w:t>
            </w:r>
            <w:r>
              <w:rPr>
                <w:b/>
                <w:bCs/>
                <w:sz w:val="16"/>
                <w:szCs w:val="16"/>
              </w:rPr>
              <w:br/>
              <w:t>Annex / Figure / Table</w:t>
            </w:r>
          </w:p>
        </w:tc>
        <w:tc>
          <w:tcPr>
            <w:tcW w:w="1022" w:type="dxa"/>
            <w:tcBorders>
              <w:top w:val="single" w:sz="6" w:space="0" w:color="auto"/>
              <w:left w:val="single" w:sz="6" w:space="0" w:color="auto"/>
              <w:bottom w:val="single" w:sz="6" w:space="0" w:color="auto"/>
              <w:right w:val="single" w:sz="6" w:space="0" w:color="auto"/>
            </w:tcBorders>
            <w:shd w:val="clear" w:color="auto" w:fill="E6E6E6"/>
          </w:tcPr>
          <w:p w14:paraId="612186A2" w14:textId="77777777" w:rsidR="00863150" w:rsidRDefault="00863150">
            <w:pPr>
              <w:keepLines/>
              <w:spacing w:before="40" w:after="40" w:line="190" w:lineRule="exact"/>
              <w:jc w:val="center"/>
              <w:rPr>
                <w:b/>
                <w:bCs/>
                <w:sz w:val="16"/>
                <w:szCs w:val="16"/>
              </w:rPr>
            </w:pPr>
            <w:r>
              <w:rPr>
                <w:b/>
                <w:bCs/>
                <w:sz w:val="16"/>
                <w:szCs w:val="16"/>
              </w:rPr>
              <w:t>Line Number</w:t>
            </w:r>
          </w:p>
        </w:tc>
        <w:tc>
          <w:tcPr>
            <w:tcW w:w="992" w:type="dxa"/>
            <w:tcBorders>
              <w:top w:val="single" w:sz="6" w:space="0" w:color="auto"/>
              <w:left w:val="single" w:sz="6" w:space="0" w:color="auto"/>
              <w:bottom w:val="single" w:sz="6" w:space="0" w:color="auto"/>
              <w:right w:val="single" w:sz="6" w:space="0" w:color="auto"/>
            </w:tcBorders>
            <w:shd w:val="clear" w:color="auto" w:fill="E6E6E6"/>
          </w:tcPr>
          <w:p w14:paraId="5E36EA1D" w14:textId="77777777" w:rsidR="00863150" w:rsidRDefault="00863150">
            <w:pPr>
              <w:keepLines/>
              <w:spacing w:before="40" w:after="40" w:line="190" w:lineRule="exact"/>
              <w:jc w:val="center"/>
              <w:rPr>
                <w:b/>
                <w:bCs/>
                <w:sz w:val="16"/>
                <w:szCs w:val="16"/>
              </w:rPr>
            </w:pPr>
            <w:r>
              <w:rPr>
                <w:b/>
                <w:bCs/>
                <w:sz w:val="16"/>
                <w:szCs w:val="16"/>
              </w:rPr>
              <w:t>Type of comment</w:t>
            </w:r>
          </w:p>
          <w:p w14:paraId="7BC03EA3" w14:textId="77777777" w:rsidR="00863150" w:rsidRDefault="00863150">
            <w:pPr>
              <w:keepLines/>
              <w:spacing w:before="40" w:after="40" w:line="190" w:lineRule="exact"/>
              <w:jc w:val="center"/>
              <w:rPr>
                <w:rStyle w:val="PageNumber"/>
                <w:sz w:val="16"/>
                <w:szCs w:val="16"/>
              </w:rPr>
            </w:pPr>
            <w:proofErr w:type="spellStart"/>
            <w:r>
              <w:rPr>
                <w:rStyle w:val="PageNumber"/>
                <w:b/>
                <w:bCs/>
                <w:sz w:val="16"/>
                <w:szCs w:val="16"/>
              </w:rPr>
              <w:t>ge</w:t>
            </w:r>
            <w:proofErr w:type="spellEnd"/>
            <w:r>
              <w:rPr>
                <w:rStyle w:val="PageNumber"/>
                <w:sz w:val="16"/>
                <w:szCs w:val="16"/>
              </w:rPr>
              <w:t xml:space="preserve"> = general</w:t>
            </w:r>
          </w:p>
          <w:p w14:paraId="192FE6D5" w14:textId="77777777" w:rsidR="00863150" w:rsidRDefault="00863150">
            <w:pPr>
              <w:keepLines/>
              <w:spacing w:before="40" w:after="40" w:line="190" w:lineRule="exact"/>
              <w:jc w:val="center"/>
              <w:rPr>
                <w:b/>
                <w:bCs/>
                <w:sz w:val="16"/>
                <w:szCs w:val="16"/>
              </w:rPr>
            </w:pPr>
            <w:proofErr w:type="spellStart"/>
            <w:r>
              <w:rPr>
                <w:rStyle w:val="PageNumber"/>
                <w:b/>
                <w:bCs/>
                <w:sz w:val="16"/>
                <w:szCs w:val="16"/>
              </w:rPr>
              <w:t>te</w:t>
            </w:r>
            <w:proofErr w:type="spellEnd"/>
            <w:r>
              <w:rPr>
                <w:rStyle w:val="PageNumber"/>
                <w:sz w:val="16"/>
                <w:szCs w:val="16"/>
              </w:rPr>
              <w:t xml:space="preserve"> = technical </w:t>
            </w:r>
            <w:r>
              <w:rPr>
                <w:rStyle w:val="PageNumber"/>
                <w:sz w:val="16"/>
                <w:szCs w:val="16"/>
              </w:rPr>
              <w:tab/>
            </w:r>
            <w:r>
              <w:rPr>
                <w:rStyle w:val="PageNumber"/>
                <w:b/>
                <w:bCs/>
                <w:sz w:val="16"/>
                <w:szCs w:val="16"/>
              </w:rPr>
              <w:t>ed</w:t>
            </w:r>
            <w:r>
              <w:rPr>
                <w:rStyle w:val="PageNumber"/>
                <w:sz w:val="16"/>
                <w:szCs w:val="16"/>
              </w:rPr>
              <w:t xml:space="preserve"> = editorial </w:t>
            </w:r>
          </w:p>
        </w:tc>
        <w:tc>
          <w:tcPr>
            <w:tcW w:w="4762" w:type="dxa"/>
            <w:tcBorders>
              <w:top w:val="single" w:sz="6" w:space="0" w:color="auto"/>
              <w:left w:val="single" w:sz="6" w:space="0" w:color="auto"/>
              <w:bottom w:val="single" w:sz="6" w:space="0" w:color="auto"/>
              <w:right w:val="single" w:sz="6" w:space="0" w:color="auto"/>
            </w:tcBorders>
            <w:shd w:val="clear" w:color="auto" w:fill="E6E6E6"/>
          </w:tcPr>
          <w:p w14:paraId="5DB73758" w14:textId="77777777" w:rsidR="00863150" w:rsidRDefault="00863150">
            <w:pPr>
              <w:keepLines/>
              <w:spacing w:before="40" w:after="40" w:line="190" w:lineRule="exact"/>
              <w:jc w:val="center"/>
              <w:rPr>
                <w:b/>
                <w:bCs/>
                <w:sz w:val="16"/>
                <w:szCs w:val="16"/>
              </w:rPr>
            </w:pPr>
            <w:r>
              <w:rPr>
                <w:b/>
                <w:bCs/>
                <w:sz w:val="16"/>
                <w:szCs w:val="16"/>
              </w:rPr>
              <w:t xml:space="preserve">Comment </w:t>
            </w:r>
          </w:p>
          <w:p w14:paraId="58D30D20" w14:textId="77777777" w:rsidR="00863150" w:rsidRDefault="00863150">
            <w:pPr>
              <w:keepLines/>
              <w:spacing w:before="40" w:after="40" w:line="190" w:lineRule="exact"/>
              <w:jc w:val="center"/>
              <w:rPr>
                <w:b/>
                <w:bCs/>
                <w:sz w:val="16"/>
                <w:szCs w:val="16"/>
              </w:rPr>
            </w:pPr>
            <w:r>
              <w:rPr>
                <w:b/>
                <w:bCs/>
                <w:sz w:val="16"/>
                <w:szCs w:val="16"/>
              </w:rPr>
              <w:t>(including justification for change)</w:t>
            </w:r>
          </w:p>
        </w:tc>
        <w:tc>
          <w:tcPr>
            <w:tcW w:w="4253" w:type="dxa"/>
            <w:tcBorders>
              <w:top w:val="single" w:sz="6" w:space="0" w:color="auto"/>
              <w:left w:val="single" w:sz="6" w:space="0" w:color="auto"/>
              <w:bottom w:val="single" w:sz="6" w:space="0" w:color="auto"/>
              <w:right w:val="single" w:sz="6" w:space="0" w:color="auto"/>
            </w:tcBorders>
            <w:shd w:val="clear" w:color="auto" w:fill="E6E6E6"/>
          </w:tcPr>
          <w:p w14:paraId="33AB5C84" w14:textId="77777777" w:rsidR="00863150" w:rsidRDefault="00863150">
            <w:pPr>
              <w:keepLines/>
              <w:spacing w:before="40" w:after="40" w:line="190" w:lineRule="exact"/>
              <w:jc w:val="center"/>
              <w:rPr>
                <w:b/>
                <w:bCs/>
                <w:sz w:val="16"/>
                <w:szCs w:val="16"/>
              </w:rPr>
            </w:pPr>
            <w:r>
              <w:rPr>
                <w:b/>
                <w:bCs/>
                <w:sz w:val="16"/>
                <w:szCs w:val="16"/>
              </w:rPr>
              <w:t xml:space="preserve">Proposed change </w:t>
            </w:r>
          </w:p>
          <w:p w14:paraId="50091044" w14:textId="77777777" w:rsidR="00863150" w:rsidRDefault="00863150">
            <w:pPr>
              <w:keepLines/>
              <w:spacing w:before="40" w:after="40" w:line="190" w:lineRule="exact"/>
              <w:jc w:val="center"/>
              <w:rPr>
                <w:b/>
                <w:bCs/>
                <w:sz w:val="16"/>
                <w:szCs w:val="16"/>
              </w:rPr>
            </w:pPr>
            <w:r>
              <w:rPr>
                <w:b/>
                <w:bCs/>
                <w:sz w:val="16"/>
                <w:szCs w:val="16"/>
              </w:rPr>
              <w:t>(including proposed text)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6C1D227" w14:textId="77777777" w:rsidR="00863150" w:rsidRDefault="00863150" w:rsidP="005A256D">
            <w:pPr>
              <w:keepLines/>
              <w:spacing w:before="40" w:after="40" w:line="190" w:lineRule="exact"/>
              <w:jc w:val="center"/>
              <w:rPr>
                <w:b/>
                <w:bCs/>
                <w:sz w:val="16"/>
                <w:szCs w:val="16"/>
              </w:rPr>
            </w:pPr>
            <w:r>
              <w:rPr>
                <w:b/>
                <w:bCs/>
                <w:sz w:val="16"/>
                <w:szCs w:val="16"/>
              </w:rPr>
              <w:t>Assessment of comment</w:t>
            </w:r>
          </w:p>
          <w:p w14:paraId="54A7E6A7" w14:textId="77777777" w:rsidR="00863150" w:rsidRDefault="00863150" w:rsidP="005A256D">
            <w:pPr>
              <w:keepLines/>
              <w:spacing w:before="40" w:after="40" w:line="190" w:lineRule="exact"/>
              <w:jc w:val="center"/>
              <w:rPr>
                <w:b/>
                <w:bCs/>
                <w:sz w:val="16"/>
                <w:szCs w:val="16"/>
              </w:rPr>
            </w:pPr>
            <w:r>
              <w:rPr>
                <w:b/>
                <w:bCs/>
                <w:sz w:val="16"/>
                <w:szCs w:val="16"/>
              </w:rPr>
              <w:t>(</w:t>
            </w:r>
            <w:r w:rsidRPr="005A256D">
              <w:rPr>
                <w:b/>
                <w:bCs/>
                <w:i/>
                <w:sz w:val="16"/>
                <w:szCs w:val="16"/>
              </w:rPr>
              <w:t xml:space="preserve">to be completed by </w:t>
            </w:r>
            <w:r>
              <w:rPr>
                <w:b/>
                <w:bCs/>
                <w:i/>
                <w:sz w:val="16"/>
                <w:szCs w:val="16"/>
              </w:rPr>
              <w:t>UNFCCC secretariat</w:t>
            </w:r>
            <w:r>
              <w:rPr>
                <w:b/>
                <w:bCs/>
                <w:sz w:val="16"/>
                <w:szCs w:val="16"/>
              </w:rPr>
              <w:t>)</w:t>
            </w:r>
          </w:p>
        </w:tc>
      </w:tr>
      <w:tr w:rsidR="008568BC" w14:paraId="1DABCE09"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1DE1019C" w14:textId="109D9649" w:rsidR="008568BC" w:rsidRDefault="008568BC" w:rsidP="008568BC">
            <w:pPr>
              <w:keepLines/>
              <w:spacing w:before="40" w:after="40" w:line="190" w:lineRule="exact"/>
              <w:jc w:val="center"/>
              <w:rPr>
                <w:b/>
                <w:bCs/>
                <w:sz w:val="16"/>
                <w:szCs w:val="16"/>
              </w:rPr>
            </w:pPr>
            <w:r>
              <w:rPr>
                <w:b/>
                <w:bCs/>
                <w:sz w:val="16"/>
                <w:szCs w:val="16"/>
              </w:rPr>
              <w:t>1</w:t>
            </w:r>
          </w:p>
        </w:tc>
        <w:tc>
          <w:tcPr>
            <w:tcW w:w="1388" w:type="dxa"/>
            <w:tcBorders>
              <w:top w:val="single" w:sz="6" w:space="0" w:color="auto"/>
              <w:left w:val="single" w:sz="6" w:space="0" w:color="auto"/>
              <w:bottom w:val="single" w:sz="6" w:space="0" w:color="auto"/>
              <w:right w:val="single" w:sz="6" w:space="0" w:color="auto"/>
            </w:tcBorders>
          </w:tcPr>
          <w:p w14:paraId="5C076DD9" w14:textId="447E8369" w:rsidR="008568BC" w:rsidRPr="008568BC" w:rsidRDefault="008568BC" w:rsidP="008568BC">
            <w:pPr>
              <w:keepLines/>
              <w:spacing w:before="40" w:after="40" w:line="190" w:lineRule="exact"/>
              <w:jc w:val="center"/>
              <w:rPr>
                <w:sz w:val="16"/>
                <w:szCs w:val="16"/>
              </w:rPr>
            </w:pPr>
            <w:r w:rsidRPr="008568BC">
              <w:rPr>
                <w:sz w:val="16"/>
                <w:szCs w:val="16"/>
              </w:rPr>
              <w:t>N/A</w:t>
            </w:r>
          </w:p>
        </w:tc>
        <w:tc>
          <w:tcPr>
            <w:tcW w:w="1022" w:type="dxa"/>
            <w:tcBorders>
              <w:top w:val="single" w:sz="6" w:space="0" w:color="auto"/>
              <w:left w:val="single" w:sz="6" w:space="0" w:color="auto"/>
              <w:bottom w:val="single" w:sz="6" w:space="0" w:color="auto"/>
              <w:right w:val="single" w:sz="6" w:space="0" w:color="auto"/>
            </w:tcBorders>
          </w:tcPr>
          <w:p w14:paraId="240E162B" w14:textId="4484244B" w:rsidR="008568BC" w:rsidRPr="008568BC" w:rsidRDefault="008568BC" w:rsidP="008568BC">
            <w:pPr>
              <w:keepLines/>
              <w:spacing w:before="40" w:after="40" w:line="190" w:lineRule="exact"/>
              <w:jc w:val="center"/>
              <w:rPr>
                <w:sz w:val="16"/>
                <w:szCs w:val="16"/>
              </w:rPr>
            </w:pPr>
            <w:r w:rsidRPr="008568BC">
              <w:rPr>
                <w:sz w:val="16"/>
                <w:szCs w:val="16"/>
              </w:rPr>
              <w:t>N/A</w:t>
            </w:r>
          </w:p>
        </w:tc>
        <w:tc>
          <w:tcPr>
            <w:tcW w:w="992" w:type="dxa"/>
            <w:tcBorders>
              <w:top w:val="single" w:sz="6" w:space="0" w:color="auto"/>
              <w:left w:val="single" w:sz="6" w:space="0" w:color="auto"/>
              <w:bottom w:val="single" w:sz="6" w:space="0" w:color="auto"/>
              <w:right w:val="single" w:sz="6" w:space="0" w:color="auto"/>
            </w:tcBorders>
          </w:tcPr>
          <w:p w14:paraId="4B753E85" w14:textId="69EE0768" w:rsidR="008568BC" w:rsidRPr="008568BC" w:rsidRDefault="008568BC" w:rsidP="008568BC">
            <w:pPr>
              <w:keepLines/>
              <w:spacing w:before="40" w:after="40" w:line="190" w:lineRule="exact"/>
              <w:jc w:val="center"/>
              <w:rPr>
                <w:sz w:val="16"/>
                <w:szCs w:val="16"/>
              </w:rPr>
            </w:pPr>
            <w:proofErr w:type="spellStart"/>
            <w:r w:rsidRPr="008568BC">
              <w:rPr>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348E5DAA" w14:textId="77777777" w:rsidR="008568BC" w:rsidRPr="008568BC" w:rsidRDefault="008568BC" w:rsidP="008568BC">
            <w:pPr>
              <w:keepLines/>
              <w:spacing w:before="40" w:after="40" w:line="190" w:lineRule="exact"/>
              <w:rPr>
                <w:sz w:val="16"/>
                <w:szCs w:val="16"/>
              </w:rPr>
            </w:pPr>
            <w:r w:rsidRPr="008568BC">
              <w:rPr>
                <w:sz w:val="16"/>
                <w:szCs w:val="16"/>
              </w:rPr>
              <w:t xml:space="preserve">The subsequent work and timeline for public comment is 13 October to 10 Nov 2023.  </w:t>
            </w:r>
          </w:p>
          <w:p w14:paraId="6BEC586B" w14:textId="54ABFFE6" w:rsidR="008568BC" w:rsidRDefault="008568BC" w:rsidP="008568BC">
            <w:pPr>
              <w:keepLines/>
              <w:spacing w:before="40" w:after="40" w:line="190" w:lineRule="exact"/>
              <w:jc w:val="left"/>
              <w:rPr>
                <w:b/>
                <w:bCs/>
                <w:sz w:val="16"/>
                <w:szCs w:val="16"/>
              </w:rPr>
            </w:pPr>
            <w:r w:rsidRPr="008568BC">
              <w:rPr>
                <w:sz w:val="16"/>
                <w:szCs w:val="16"/>
              </w:rPr>
              <w:t xml:space="preserve">The </w:t>
            </w:r>
            <w:proofErr w:type="spellStart"/>
            <w:r w:rsidRPr="008568BC">
              <w:rPr>
                <w:sz w:val="16"/>
                <w:szCs w:val="16"/>
              </w:rPr>
              <w:t>fNRB</w:t>
            </w:r>
            <w:proofErr w:type="spellEnd"/>
            <w:r w:rsidRPr="008568BC">
              <w:rPr>
                <w:sz w:val="16"/>
                <w:szCs w:val="16"/>
              </w:rPr>
              <w:t xml:space="preserve"> calculations and assumptions are complex, took years to develop, require 52 pages of methodological explanation and will have an enormous impact on the crediting for cookstove carbon projects.  Allowing just a short time for response does not permit sufficient time for scientific review or governmental comment.</w:t>
            </w:r>
          </w:p>
        </w:tc>
        <w:tc>
          <w:tcPr>
            <w:tcW w:w="4253" w:type="dxa"/>
            <w:tcBorders>
              <w:top w:val="single" w:sz="6" w:space="0" w:color="auto"/>
              <w:left w:val="single" w:sz="6" w:space="0" w:color="auto"/>
              <w:bottom w:val="single" w:sz="6" w:space="0" w:color="auto"/>
              <w:right w:val="single" w:sz="6" w:space="0" w:color="auto"/>
            </w:tcBorders>
          </w:tcPr>
          <w:p w14:paraId="6584FCC9" w14:textId="77777777" w:rsidR="008568BC" w:rsidRPr="008568BC" w:rsidRDefault="008568BC" w:rsidP="008568BC">
            <w:pPr>
              <w:keepLines/>
              <w:spacing w:before="40" w:after="40" w:line="190" w:lineRule="exact"/>
              <w:jc w:val="left"/>
              <w:rPr>
                <w:sz w:val="16"/>
                <w:szCs w:val="16"/>
              </w:rPr>
            </w:pPr>
            <w:r w:rsidRPr="008568BC">
              <w:rPr>
                <w:sz w:val="16"/>
                <w:szCs w:val="16"/>
              </w:rPr>
              <w:t>We recommend the comment period be extended to 26 of January 2024.</w:t>
            </w:r>
          </w:p>
          <w:p w14:paraId="39E289E1" w14:textId="77777777" w:rsidR="008568BC" w:rsidRPr="008568BC" w:rsidRDefault="008568BC" w:rsidP="008568BC">
            <w:pPr>
              <w:keepLines/>
              <w:spacing w:before="40" w:after="40" w:line="190" w:lineRule="exact"/>
              <w:jc w:val="left"/>
              <w:rPr>
                <w:sz w:val="16"/>
                <w:szCs w:val="16"/>
              </w:rPr>
            </w:pPr>
            <w:r w:rsidRPr="008568BC">
              <w:rPr>
                <w:sz w:val="16"/>
                <w:szCs w:val="16"/>
              </w:rPr>
              <w:t>Proposed text:</w:t>
            </w:r>
          </w:p>
          <w:p w14:paraId="6508F47C" w14:textId="42D054EE" w:rsidR="008568BC" w:rsidRDefault="008568BC" w:rsidP="008568BC">
            <w:pPr>
              <w:keepLines/>
              <w:spacing w:before="40" w:after="40" w:line="190" w:lineRule="exact"/>
              <w:jc w:val="left"/>
              <w:rPr>
                <w:b/>
                <w:bCs/>
                <w:sz w:val="16"/>
                <w:szCs w:val="16"/>
              </w:rPr>
            </w:pPr>
            <w:r w:rsidRPr="008568BC">
              <w:rPr>
                <w:sz w:val="16"/>
                <w:szCs w:val="16"/>
              </w:rPr>
              <w:t xml:space="preserve">The call for inputs from stakeholders is open from (13 October </w:t>
            </w:r>
            <w:r w:rsidRPr="00743570">
              <w:rPr>
                <w:sz w:val="16"/>
                <w:szCs w:val="16"/>
              </w:rPr>
              <w:t xml:space="preserve">to </w:t>
            </w:r>
            <w:r w:rsidRPr="00743570">
              <w:rPr>
                <w:sz w:val="16"/>
                <w:szCs w:val="16"/>
                <w:u w:val="single"/>
              </w:rPr>
              <w:t>26 January 2024</w:t>
            </w:r>
            <w:r w:rsidRPr="00743570">
              <w:rPr>
                <w:sz w:val="16"/>
                <w:szCs w:val="16"/>
              </w:rPr>
              <w:t>, 23</w:t>
            </w:r>
            <w:r w:rsidRPr="008568BC">
              <w:rPr>
                <w:sz w:val="16"/>
                <w:szCs w:val="16"/>
              </w:rPr>
              <w:t>:59 CEST).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3981D61" w14:textId="77777777" w:rsidR="008568BC" w:rsidRDefault="008568BC" w:rsidP="008568BC">
            <w:pPr>
              <w:keepLines/>
              <w:spacing w:before="40" w:after="40" w:line="190" w:lineRule="exact"/>
              <w:jc w:val="center"/>
              <w:rPr>
                <w:b/>
                <w:bCs/>
                <w:sz w:val="16"/>
                <w:szCs w:val="16"/>
              </w:rPr>
            </w:pPr>
          </w:p>
        </w:tc>
      </w:tr>
      <w:tr w:rsidR="008568BC" w14:paraId="7BCB2812"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630BE0CC" w14:textId="13285160" w:rsidR="008568BC" w:rsidRDefault="00743570" w:rsidP="008568BC">
            <w:pPr>
              <w:keepLines/>
              <w:spacing w:before="40" w:after="40" w:line="190" w:lineRule="exact"/>
              <w:jc w:val="center"/>
              <w:rPr>
                <w:b/>
                <w:bCs/>
                <w:sz w:val="16"/>
                <w:szCs w:val="16"/>
              </w:rPr>
            </w:pPr>
            <w:r>
              <w:rPr>
                <w:b/>
                <w:bCs/>
                <w:sz w:val="16"/>
                <w:szCs w:val="16"/>
              </w:rPr>
              <w:t>2</w:t>
            </w:r>
          </w:p>
        </w:tc>
        <w:tc>
          <w:tcPr>
            <w:tcW w:w="1388" w:type="dxa"/>
            <w:tcBorders>
              <w:top w:val="single" w:sz="6" w:space="0" w:color="auto"/>
              <w:left w:val="single" w:sz="6" w:space="0" w:color="auto"/>
              <w:bottom w:val="single" w:sz="6" w:space="0" w:color="auto"/>
              <w:right w:val="single" w:sz="6" w:space="0" w:color="auto"/>
            </w:tcBorders>
          </w:tcPr>
          <w:p w14:paraId="59BBCE6B" w14:textId="4F28A993" w:rsidR="008568BC" w:rsidRPr="008568BC" w:rsidRDefault="008568BC" w:rsidP="008568BC">
            <w:pPr>
              <w:keepLines/>
              <w:spacing w:before="40" w:after="40" w:line="190" w:lineRule="exact"/>
              <w:jc w:val="center"/>
              <w:rPr>
                <w:sz w:val="16"/>
                <w:szCs w:val="16"/>
              </w:rPr>
            </w:pPr>
            <w:r w:rsidRPr="008568BC">
              <w:rPr>
                <w:sz w:val="16"/>
                <w:szCs w:val="16"/>
              </w:rPr>
              <w:t>3.2.2</w:t>
            </w:r>
          </w:p>
        </w:tc>
        <w:tc>
          <w:tcPr>
            <w:tcW w:w="1022" w:type="dxa"/>
            <w:tcBorders>
              <w:top w:val="single" w:sz="6" w:space="0" w:color="auto"/>
              <w:left w:val="single" w:sz="6" w:space="0" w:color="auto"/>
              <w:bottom w:val="single" w:sz="6" w:space="0" w:color="auto"/>
              <w:right w:val="single" w:sz="6" w:space="0" w:color="auto"/>
            </w:tcBorders>
          </w:tcPr>
          <w:p w14:paraId="14EAD6AF" w14:textId="65FE47F6" w:rsidR="008568BC" w:rsidRPr="008568BC" w:rsidRDefault="008568BC" w:rsidP="008568BC">
            <w:pPr>
              <w:keepLines/>
              <w:spacing w:before="40" w:after="40" w:line="190" w:lineRule="exact"/>
              <w:jc w:val="center"/>
              <w:rPr>
                <w:sz w:val="16"/>
                <w:szCs w:val="16"/>
              </w:rPr>
            </w:pPr>
            <w:r w:rsidRPr="008568BC">
              <w:rPr>
                <w:sz w:val="16"/>
                <w:szCs w:val="16"/>
              </w:rPr>
              <w:t>17</w:t>
            </w:r>
          </w:p>
        </w:tc>
        <w:tc>
          <w:tcPr>
            <w:tcW w:w="992" w:type="dxa"/>
            <w:tcBorders>
              <w:top w:val="single" w:sz="6" w:space="0" w:color="auto"/>
              <w:left w:val="single" w:sz="6" w:space="0" w:color="auto"/>
              <w:bottom w:val="single" w:sz="6" w:space="0" w:color="auto"/>
              <w:right w:val="single" w:sz="6" w:space="0" w:color="auto"/>
            </w:tcBorders>
          </w:tcPr>
          <w:p w14:paraId="103ABC10" w14:textId="671BA738" w:rsidR="008568BC" w:rsidRPr="008568BC" w:rsidRDefault="008568BC" w:rsidP="008568BC">
            <w:pPr>
              <w:keepLines/>
              <w:spacing w:before="40" w:after="40" w:line="190" w:lineRule="exact"/>
              <w:jc w:val="center"/>
              <w:rPr>
                <w:sz w:val="16"/>
                <w:szCs w:val="16"/>
              </w:rPr>
            </w:pPr>
            <w:proofErr w:type="spellStart"/>
            <w:r w:rsidRPr="008568BC">
              <w:rPr>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2AEAFD0A" w14:textId="77777777" w:rsidR="008568BC" w:rsidRPr="008568BC" w:rsidRDefault="008568BC" w:rsidP="00127E95">
            <w:pPr>
              <w:keepLines/>
              <w:spacing w:before="40" w:after="40" w:line="190" w:lineRule="exact"/>
              <w:jc w:val="left"/>
              <w:rPr>
                <w:sz w:val="16"/>
                <w:szCs w:val="16"/>
              </w:rPr>
            </w:pPr>
            <w:r w:rsidRPr="008568BC">
              <w:rPr>
                <w:sz w:val="16"/>
                <w:szCs w:val="16"/>
              </w:rPr>
              <w:t>The model focuses primarily on residential wood fuel demand and does not count wood harvesting for any other purpose.</w:t>
            </w:r>
          </w:p>
          <w:p w14:paraId="384D660A" w14:textId="179AD787" w:rsidR="008568BC" w:rsidRPr="008568BC" w:rsidRDefault="008568BC" w:rsidP="00127E95">
            <w:pPr>
              <w:keepLines/>
              <w:spacing w:before="40" w:after="40" w:line="190" w:lineRule="exact"/>
              <w:jc w:val="left"/>
              <w:rPr>
                <w:sz w:val="16"/>
                <w:szCs w:val="16"/>
              </w:rPr>
            </w:pPr>
            <w:r w:rsidRPr="008568BC">
              <w:rPr>
                <w:sz w:val="16"/>
                <w:szCs w:val="16"/>
              </w:rPr>
              <w:t xml:space="preserve">There is substantial use of </w:t>
            </w:r>
            <w:proofErr w:type="spellStart"/>
            <w:r w:rsidRPr="008568BC">
              <w:rPr>
                <w:sz w:val="16"/>
                <w:szCs w:val="16"/>
              </w:rPr>
              <w:t>woodfuel</w:t>
            </w:r>
            <w:proofErr w:type="spellEnd"/>
            <w:r w:rsidRPr="008568BC">
              <w:rPr>
                <w:sz w:val="16"/>
                <w:szCs w:val="16"/>
              </w:rPr>
              <w:t xml:space="preserve"> for other purposes </w:t>
            </w:r>
            <w:r w:rsidR="009C6079">
              <w:rPr>
                <w:sz w:val="16"/>
                <w:szCs w:val="16"/>
              </w:rPr>
              <w:t xml:space="preserve">(lumber including waste, brick kilns, industrial uses, etc.) </w:t>
            </w:r>
            <w:r w:rsidRPr="008568BC">
              <w:rPr>
                <w:sz w:val="16"/>
                <w:szCs w:val="16"/>
              </w:rPr>
              <w:t xml:space="preserve">and to ignore this aspect of consumption is </w:t>
            </w:r>
            <w:r w:rsidR="009C6079">
              <w:rPr>
                <w:sz w:val="16"/>
                <w:szCs w:val="16"/>
              </w:rPr>
              <w:t>inaccurate</w:t>
            </w:r>
            <w:r w:rsidRPr="008568BC">
              <w:rPr>
                <w:sz w:val="16"/>
                <w:szCs w:val="16"/>
              </w:rPr>
              <w:t>.</w:t>
            </w:r>
            <w:r w:rsidR="000C64E1">
              <w:rPr>
                <w:sz w:val="16"/>
                <w:szCs w:val="16"/>
              </w:rPr>
              <w:t xml:space="preserve"> If primary data is lacking, including conservative assumptions is much better than ignoring the source of consumption entirely.</w:t>
            </w:r>
          </w:p>
        </w:tc>
        <w:tc>
          <w:tcPr>
            <w:tcW w:w="4253" w:type="dxa"/>
            <w:tcBorders>
              <w:top w:val="single" w:sz="6" w:space="0" w:color="auto"/>
              <w:left w:val="single" w:sz="6" w:space="0" w:color="auto"/>
              <w:bottom w:val="single" w:sz="6" w:space="0" w:color="auto"/>
              <w:right w:val="single" w:sz="6" w:space="0" w:color="auto"/>
            </w:tcBorders>
          </w:tcPr>
          <w:p w14:paraId="0C505844" w14:textId="0261F2CE" w:rsidR="008568BC" w:rsidRPr="008568BC" w:rsidRDefault="008568BC" w:rsidP="00127E95">
            <w:pPr>
              <w:keepLines/>
              <w:spacing w:before="40" w:after="40" w:line="190" w:lineRule="exact"/>
              <w:jc w:val="left"/>
              <w:rPr>
                <w:sz w:val="16"/>
                <w:szCs w:val="16"/>
              </w:rPr>
            </w:pPr>
            <w:r w:rsidRPr="008568BC">
              <w:rPr>
                <w:sz w:val="16"/>
                <w:szCs w:val="16"/>
              </w:rPr>
              <w:t xml:space="preserve">Include alternative sources of demand. </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156D8E3" w14:textId="77777777" w:rsidR="008568BC" w:rsidRDefault="008568BC" w:rsidP="008568BC">
            <w:pPr>
              <w:keepLines/>
              <w:spacing w:before="40" w:after="40" w:line="190" w:lineRule="exact"/>
              <w:jc w:val="center"/>
              <w:rPr>
                <w:b/>
                <w:bCs/>
                <w:sz w:val="16"/>
                <w:szCs w:val="16"/>
              </w:rPr>
            </w:pPr>
          </w:p>
        </w:tc>
      </w:tr>
      <w:tr w:rsidR="008568BC" w14:paraId="1DD2AA5D"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3BCD2FCE" w14:textId="0CC68A2C" w:rsidR="008568BC" w:rsidRDefault="00743570" w:rsidP="008568BC">
            <w:pPr>
              <w:keepLines/>
              <w:spacing w:before="40" w:after="40" w:line="190" w:lineRule="exact"/>
              <w:jc w:val="center"/>
              <w:rPr>
                <w:b/>
                <w:bCs/>
                <w:sz w:val="16"/>
                <w:szCs w:val="16"/>
              </w:rPr>
            </w:pPr>
            <w:r>
              <w:rPr>
                <w:b/>
                <w:bCs/>
                <w:sz w:val="16"/>
                <w:szCs w:val="16"/>
              </w:rPr>
              <w:t>3</w:t>
            </w:r>
          </w:p>
        </w:tc>
        <w:tc>
          <w:tcPr>
            <w:tcW w:w="1388" w:type="dxa"/>
            <w:tcBorders>
              <w:top w:val="single" w:sz="6" w:space="0" w:color="auto"/>
              <w:left w:val="single" w:sz="6" w:space="0" w:color="auto"/>
              <w:bottom w:val="single" w:sz="6" w:space="0" w:color="auto"/>
              <w:right w:val="single" w:sz="6" w:space="0" w:color="auto"/>
            </w:tcBorders>
          </w:tcPr>
          <w:p w14:paraId="49AFBB31" w14:textId="02AC8741" w:rsidR="008568BC" w:rsidRPr="008568BC" w:rsidRDefault="008568BC" w:rsidP="008568BC">
            <w:pPr>
              <w:keepLines/>
              <w:spacing w:before="40" w:after="40" w:line="190" w:lineRule="exact"/>
              <w:jc w:val="center"/>
              <w:rPr>
                <w:sz w:val="16"/>
                <w:szCs w:val="16"/>
              </w:rPr>
            </w:pPr>
            <w:r w:rsidRPr="008568BC">
              <w:rPr>
                <w:sz w:val="16"/>
                <w:szCs w:val="16"/>
              </w:rPr>
              <w:t>3.2.1</w:t>
            </w:r>
          </w:p>
        </w:tc>
        <w:tc>
          <w:tcPr>
            <w:tcW w:w="1022" w:type="dxa"/>
            <w:tcBorders>
              <w:top w:val="single" w:sz="6" w:space="0" w:color="auto"/>
              <w:left w:val="single" w:sz="6" w:space="0" w:color="auto"/>
              <w:bottom w:val="single" w:sz="6" w:space="0" w:color="auto"/>
              <w:right w:val="single" w:sz="6" w:space="0" w:color="auto"/>
            </w:tcBorders>
          </w:tcPr>
          <w:p w14:paraId="75AD19F8" w14:textId="2FCD87DB" w:rsidR="008568BC" w:rsidRPr="008568BC" w:rsidRDefault="008568BC" w:rsidP="008568BC">
            <w:pPr>
              <w:keepLines/>
              <w:spacing w:before="40" w:after="40" w:line="190" w:lineRule="exact"/>
              <w:jc w:val="center"/>
              <w:rPr>
                <w:sz w:val="16"/>
                <w:szCs w:val="16"/>
              </w:rPr>
            </w:pPr>
            <w:r w:rsidRPr="008568BC">
              <w:rPr>
                <w:sz w:val="16"/>
                <w:szCs w:val="16"/>
              </w:rPr>
              <w:t>14</w:t>
            </w:r>
          </w:p>
        </w:tc>
        <w:tc>
          <w:tcPr>
            <w:tcW w:w="992" w:type="dxa"/>
            <w:tcBorders>
              <w:top w:val="single" w:sz="6" w:space="0" w:color="auto"/>
              <w:left w:val="single" w:sz="6" w:space="0" w:color="auto"/>
              <w:bottom w:val="single" w:sz="6" w:space="0" w:color="auto"/>
              <w:right w:val="single" w:sz="6" w:space="0" w:color="auto"/>
            </w:tcBorders>
          </w:tcPr>
          <w:p w14:paraId="0CCA30C3" w14:textId="7AE1B2B8" w:rsidR="008568BC" w:rsidRPr="008568BC" w:rsidRDefault="008568BC" w:rsidP="008568BC">
            <w:pPr>
              <w:keepLines/>
              <w:spacing w:before="40" w:after="40" w:line="190" w:lineRule="exact"/>
              <w:jc w:val="center"/>
              <w:rPr>
                <w:sz w:val="16"/>
                <w:szCs w:val="16"/>
              </w:rPr>
            </w:pPr>
            <w:proofErr w:type="spellStart"/>
            <w:r w:rsidRPr="008568BC">
              <w:rPr>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43BD7172" w14:textId="6E386B86" w:rsidR="008568BC" w:rsidRPr="008568BC" w:rsidRDefault="008568BC" w:rsidP="00127E95">
            <w:pPr>
              <w:keepLines/>
              <w:spacing w:before="40" w:after="40" w:line="190" w:lineRule="exact"/>
              <w:jc w:val="left"/>
              <w:rPr>
                <w:sz w:val="16"/>
                <w:szCs w:val="16"/>
              </w:rPr>
            </w:pPr>
            <w:r w:rsidRPr="008568BC">
              <w:rPr>
                <w:sz w:val="16"/>
                <w:szCs w:val="16"/>
              </w:rPr>
              <w:t>Comparing consumption and regrowth in a specific area may provide skewed results since regrowth may not take place in the area where consumption occurs.</w:t>
            </w:r>
            <w:r w:rsidR="001F3A86">
              <w:rPr>
                <w:sz w:val="16"/>
                <w:szCs w:val="16"/>
              </w:rPr>
              <w:t xml:space="preserve"> </w:t>
            </w:r>
            <w:r w:rsidR="00C65A0C">
              <w:rPr>
                <w:sz w:val="16"/>
                <w:szCs w:val="16"/>
              </w:rPr>
              <w:t xml:space="preserve">While there is an algorithm embedded in </w:t>
            </w:r>
            <w:proofErr w:type="spellStart"/>
            <w:r w:rsidR="00C65A0C">
              <w:rPr>
                <w:sz w:val="16"/>
                <w:szCs w:val="16"/>
              </w:rPr>
              <w:t>Mofuss</w:t>
            </w:r>
            <w:proofErr w:type="spellEnd"/>
            <w:r w:rsidR="00C65A0C">
              <w:rPr>
                <w:sz w:val="16"/>
                <w:szCs w:val="16"/>
              </w:rPr>
              <w:t xml:space="preserve"> to account for transport of biomass, it isn’t clear that the one size fits all approach accurate. </w:t>
            </w:r>
            <w:r w:rsidR="001F3A86">
              <w:rPr>
                <w:sz w:val="16"/>
                <w:szCs w:val="16"/>
              </w:rPr>
              <w:t>This explains why the default values for most African capitals are so far from what one would expect.</w:t>
            </w:r>
          </w:p>
        </w:tc>
        <w:tc>
          <w:tcPr>
            <w:tcW w:w="4253" w:type="dxa"/>
            <w:tcBorders>
              <w:top w:val="single" w:sz="6" w:space="0" w:color="auto"/>
              <w:left w:val="single" w:sz="6" w:space="0" w:color="auto"/>
              <w:bottom w:val="single" w:sz="6" w:space="0" w:color="auto"/>
              <w:right w:val="single" w:sz="6" w:space="0" w:color="auto"/>
            </w:tcBorders>
          </w:tcPr>
          <w:p w14:paraId="6508BBC3" w14:textId="77777777" w:rsidR="008568BC" w:rsidRDefault="001F3A86" w:rsidP="00127E95">
            <w:pPr>
              <w:keepLines/>
              <w:spacing w:before="40" w:after="40" w:line="190" w:lineRule="exact"/>
              <w:jc w:val="left"/>
              <w:rPr>
                <w:sz w:val="16"/>
                <w:szCs w:val="16"/>
              </w:rPr>
            </w:pPr>
            <w:r>
              <w:rPr>
                <w:sz w:val="16"/>
                <w:szCs w:val="16"/>
              </w:rPr>
              <w:t xml:space="preserve">Fundamental </w:t>
            </w:r>
            <w:proofErr w:type="spellStart"/>
            <w:r>
              <w:rPr>
                <w:sz w:val="16"/>
                <w:szCs w:val="16"/>
              </w:rPr>
              <w:t>MoFuss</w:t>
            </w:r>
            <w:proofErr w:type="spellEnd"/>
            <w:r>
              <w:rPr>
                <w:sz w:val="16"/>
                <w:szCs w:val="16"/>
              </w:rPr>
              <w:t xml:space="preserve"> methodological issue and not pertaining to a specific part of the text</w:t>
            </w:r>
            <w:r w:rsidR="008568BC" w:rsidRPr="008568BC">
              <w:rPr>
                <w:sz w:val="16"/>
                <w:szCs w:val="16"/>
              </w:rPr>
              <w:t>.</w:t>
            </w:r>
            <w:r>
              <w:rPr>
                <w:sz w:val="16"/>
                <w:szCs w:val="16"/>
              </w:rPr>
              <w:t xml:space="preserve"> Propose methodological revision</w:t>
            </w:r>
            <w:r w:rsidR="008A4004">
              <w:rPr>
                <w:sz w:val="16"/>
                <w:szCs w:val="16"/>
              </w:rPr>
              <w:t xml:space="preserve"> before the tool can be launched.</w:t>
            </w:r>
          </w:p>
          <w:p w14:paraId="04781134" w14:textId="77777777" w:rsidR="000C64E1" w:rsidRDefault="000C64E1" w:rsidP="00127E95">
            <w:pPr>
              <w:keepLines/>
              <w:spacing w:before="40" w:after="40" w:line="190" w:lineRule="exact"/>
              <w:jc w:val="left"/>
              <w:rPr>
                <w:sz w:val="16"/>
                <w:szCs w:val="16"/>
              </w:rPr>
            </w:pPr>
          </w:p>
          <w:p w14:paraId="55B5FCA0" w14:textId="4C7130CC" w:rsidR="000C64E1" w:rsidRPr="008568BC" w:rsidRDefault="000C64E1" w:rsidP="00127E95">
            <w:pPr>
              <w:keepLines/>
              <w:spacing w:before="40" w:after="40" w:line="190" w:lineRule="exact"/>
              <w:jc w:val="left"/>
              <w:rPr>
                <w:sz w:val="16"/>
                <w:szCs w:val="16"/>
              </w:rPr>
            </w:pPr>
            <w:r>
              <w:rPr>
                <w:sz w:val="16"/>
                <w:szCs w:val="16"/>
              </w:rPr>
              <w:t>The tool should have the ability to couple supply from one location with demand from another.</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1A97AA4" w14:textId="77777777" w:rsidR="008568BC" w:rsidRDefault="008568BC" w:rsidP="008568BC">
            <w:pPr>
              <w:keepLines/>
              <w:spacing w:before="40" w:after="40" w:line="190" w:lineRule="exact"/>
              <w:jc w:val="center"/>
              <w:rPr>
                <w:b/>
                <w:bCs/>
                <w:sz w:val="16"/>
                <w:szCs w:val="16"/>
              </w:rPr>
            </w:pPr>
          </w:p>
        </w:tc>
      </w:tr>
      <w:tr w:rsidR="00863150" w14:paraId="20DC6649"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2045C234" w14:textId="659BC8B8" w:rsidR="00863150" w:rsidRDefault="000C64E1">
            <w:pPr>
              <w:keepLines/>
              <w:spacing w:before="40" w:after="40" w:line="190" w:lineRule="exact"/>
              <w:jc w:val="center"/>
              <w:rPr>
                <w:b/>
                <w:bCs/>
                <w:sz w:val="16"/>
                <w:szCs w:val="16"/>
              </w:rPr>
            </w:pPr>
            <w:r>
              <w:rPr>
                <w:b/>
                <w:bCs/>
                <w:sz w:val="16"/>
                <w:szCs w:val="16"/>
              </w:rPr>
              <w:lastRenderedPageBreak/>
              <w:t>4</w:t>
            </w:r>
          </w:p>
        </w:tc>
        <w:tc>
          <w:tcPr>
            <w:tcW w:w="1388" w:type="dxa"/>
            <w:tcBorders>
              <w:top w:val="single" w:sz="6" w:space="0" w:color="auto"/>
              <w:left w:val="single" w:sz="6" w:space="0" w:color="auto"/>
              <w:bottom w:val="single" w:sz="6" w:space="0" w:color="auto"/>
              <w:right w:val="single" w:sz="6" w:space="0" w:color="auto"/>
            </w:tcBorders>
          </w:tcPr>
          <w:p w14:paraId="746D93DD" w14:textId="77777777" w:rsidR="00DD628A" w:rsidRPr="00DD628A" w:rsidRDefault="00DD628A" w:rsidP="00DD628A">
            <w:pPr>
              <w:keepLines/>
              <w:spacing w:before="40" w:after="40" w:line="189" w:lineRule="auto"/>
              <w:jc w:val="center"/>
              <w:rPr>
                <w:bCs/>
                <w:sz w:val="16"/>
                <w:szCs w:val="16"/>
                <w:lang w:eastAsia="en-GB"/>
              </w:rPr>
            </w:pPr>
            <w:r w:rsidRPr="00DD628A">
              <w:rPr>
                <w:bCs/>
                <w:sz w:val="16"/>
                <w:szCs w:val="16"/>
                <w:lang w:eastAsia="en-GB"/>
              </w:rPr>
              <w:t>Appendix 2.</w:t>
            </w:r>
          </w:p>
          <w:p w14:paraId="2F3815E4" w14:textId="368CC8CE" w:rsidR="00863150" w:rsidRPr="00430776" w:rsidRDefault="00430776">
            <w:pPr>
              <w:keepLines/>
              <w:spacing w:before="40" w:after="40" w:line="190" w:lineRule="exact"/>
              <w:jc w:val="center"/>
              <w:rPr>
                <w:sz w:val="16"/>
                <w:szCs w:val="16"/>
              </w:rPr>
            </w:pPr>
            <w:r w:rsidRPr="00430776">
              <w:rPr>
                <w:sz w:val="16"/>
                <w:szCs w:val="16"/>
              </w:rPr>
              <w:t>Pg 25</w:t>
            </w:r>
          </w:p>
        </w:tc>
        <w:tc>
          <w:tcPr>
            <w:tcW w:w="1022" w:type="dxa"/>
            <w:tcBorders>
              <w:top w:val="single" w:sz="6" w:space="0" w:color="auto"/>
              <w:left w:val="single" w:sz="6" w:space="0" w:color="auto"/>
              <w:bottom w:val="single" w:sz="6" w:space="0" w:color="auto"/>
              <w:right w:val="single" w:sz="6" w:space="0" w:color="auto"/>
            </w:tcBorders>
          </w:tcPr>
          <w:p w14:paraId="15AC8CDE" w14:textId="52005848" w:rsidR="00863150" w:rsidRDefault="00DD628A">
            <w:pPr>
              <w:keepLines/>
              <w:spacing w:before="40" w:after="40" w:line="190" w:lineRule="exact"/>
              <w:jc w:val="center"/>
              <w:rPr>
                <w:b/>
                <w:bCs/>
                <w:sz w:val="16"/>
                <w:szCs w:val="16"/>
              </w:rPr>
            </w:pPr>
            <w:r w:rsidRPr="00430776">
              <w:rPr>
                <w:sz w:val="16"/>
                <w:szCs w:val="16"/>
              </w:rPr>
              <w:t>subscript 2</w:t>
            </w:r>
          </w:p>
        </w:tc>
        <w:tc>
          <w:tcPr>
            <w:tcW w:w="992" w:type="dxa"/>
            <w:tcBorders>
              <w:top w:val="single" w:sz="6" w:space="0" w:color="auto"/>
              <w:left w:val="single" w:sz="6" w:space="0" w:color="auto"/>
              <w:bottom w:val="single" w:sz="6" w:space="0" w:color="auto"/>
              <w:right w:val="single" w:sz="6" w:space="0" w:color="auto"/>
            </w:tcBorders>
          </w:tcPr>
          <w:p w14:paraId="17A4ED9A" w14:textId="1170D63E" w:rsidR="00863150" w:rsidRPr="00743570" w:rsidRDefault="00C65A0C">
            <w:pPr>
              <w:keepLines/>
              <w:spacing w:before="40" w:after="40" w:line="190" w:lineRule="exact"/>
              <w:jc w:val="center"/>
              <w:rPr>
                <w:sz w:val="16"/>
                <w:szCs w:val="16"/>
              </w:rPr>
            </w:pPr>
            <w:proofErr w:type="spellStart"/>
            <w:r w:rsidRPr="00743570">
              <w:rPr>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2D3BF554" w14:textId="1DF41AD0" w:rsidR="00863150" w:rsidRDefault="00430776" w:rsidP="00430776">
            <w:pPr>
              <w:keepLines/>
              <w:spacing w:before="40" w:after="40" w:line="190" w:lineRule="exact"/>
              <w:jc w:val="left"/>
              <w:rPr>
                <w:b/>
                <w:bCs/>
                <w:sz w:val="16"/>
                <w:szCs w:val="16"/>
              </w:rPr>
            </w:pPr>
            <w:r w:rsidRPr="00430776">
              <w:rPr>
                <w:sz w:val="16"/>
                <w:szCs w:val="16"/>
              </w:rPr>
              <w:t>Stove stacking is exceedingly common in households cooking with biomass, especially in Africa. Not accounting for stove stacking</w:t>
            </w:r>
            <w:r w:rsidR="00C65A0C">
              <w:rPr>
                <w:sz w:val="16"/>
                <w:szCs w:val="16"/>
              </w:rPr>
              <w:t>, and only counting households that are primary wood and charcoal users</w:t>
            </w:r>
            <w:r w:rsidR="000C64E1">
              <w:rPr>
                <w:sz w:val="16"/>
                <w:szCs w:val="16"/>
              </w:rPr>
              <w:t xml:space="preserve"> </w:t>
            </w:r>
            <w:r w:rsidRPr="00430776">
              <w:rPr>
                <w:sz w:val="16"/>
                <w:szCs w:val="16"/>
              </w:rPr>
              <w:t>lead</w:t>
            </w:r>
            <w:r w:rsidR="00C65A0C">
              <w:rPr>
                <w:sz w:val="16"/>
                <w:szCs w:val="16"/>
              </w:rPr>
              <w:t>s</w:t>
            </w:r>
            <w:r w:rsidRPr="00430776">
              <w:rPr>
                <w:sz w:val="16"/>
                <w:szCs w:val="16"/>
              </w:rPr>
              <w:t xml:space="preserve"> to a </w:t>
            </w:r>
            <w:r w:rsidR="00C65A0C">
              <w:rPr>
                <w:sz w:val="16"/>
                <w:szCs w:val="16"/>
              </w:rPr>
              <w:t>significant</w:t>
            </w:r>
            <w:r w:rsidRPr="00430776">
              <w:rPr>
                <w:sz w:val="16"/>
                <w:szCs w:val="16"/>
              </w:rPr>
              <w:t xml:space="preserve"> underestimate of baseline fuel consumption.</w:t>
            </w:r>
            <w:r w:rsidR="000C64E1">
              <w:rPr>
                <w:sz w:val="16"/>
                <w:szCs w:val="16"/>
              </w:rPr>
              <w:t xml:space="preserve"> The reason cited was that such data is not available, however, making conservative assumptions rather than not counting any fuel use among households stacking does a disservice to host countries by artificially lowering </w:t>
            </w:r>
            <w:proofErr w:type="spellStart"/>
            <w:r w:rsidR="000C64E1">
              <w:rPr>
                <w:sz w:val="16"/>
                <w:szCs w:val="16"/>
              </w:rPr>
              <w:t>fNRB</w:t>
            </w:r>
            <w:proofErr w:type="spellEnd"/>
            <w:r w:rsidR="000C64E1">
              <w:rPr>
                <w:sz w:val="16"/>
                <w:szCs w:val="16"/>
              </w:rPr>
              <w:t xml:space="preserve"> values.</w:t>
            </w:r>
          </w:p>
        </w:tc>
        <w:tc>
          <w:tcPr>
            <w:tcW w:w="4253" w:type="dxa"/>
            <w:tcBorders>
              <w:top w:val="single" w:sz="6" w:space="0" w:color="auto"/>
              <w:left w:val="single" w:sz="6" w:space="0" w:color="auto"/>
              <w:bottom w:val="single" w:sz="6" w:space="0" w:color="auto"/>
              <w:right w:val="single" w:sz="6" w:space="0" w:color="auto"/>
            </w:tcBorders>
          </w:tcPr>
          <w:p w14:paraId="703F5CD2" w14:textId="7B62E709" w:rsidR="00863150" w:rsidRDefault="00430776" w:rsidP="00430776">
            <w:pPr>
              <w:keepLines/>
              <w:spacing w:before="40" w:after="40" w:line="190" w:lineRule="exact"/>
              <w:jc w:val="left"/>
              <w:rPr>
                <w:b/>
                <w:bCs/>
                <w:sz w:val="16"/>
                <w:szCs w:val="16"/>
              </w:rPr>
            </w:pPr>
            <w:r>
              <w:rPr>
                <w:sz w:val="16"/>
                <w:szCs w:val="16"/>
              </w:rPr>
              <w:t xml:space="preserve">Fundamental </w:t>
            </w:r>
            <w:proofErr w:type="spellStart"/>
            <w:r>
              <w:rPr>
                <w:sz w:val="16"/>
                <w:szCs w:val="16"/>
              </w:rPr>
              <w:t>MoFuss</w:t>
            </w:r>
            <w:proofErr w:type="spellEnd"/>
            <w:r>
              <w:rPr>
                <w:sz w:val="16"/>
                <w:szCs w:val="16"/>
              </w:rPr>
              <w:t xml:space="preserve"> methodological issue</w:t>
            </w:r>
            <w:r w:rsidRPr="008568BC">
              <w:rPr>
                <w:sz w:val="16"/>
                <w:szCs w:val="16"/>
              </w:rPr>
              <w:t>.</w:t>
            </w:r>
            <w:r>
              <w:rPr>
                <w:sz w:val="16"/>
                <w:szCs w:val="16"/>
              </w:rPr>
              <w:t xml:space="preserve"> Propose methodological revision that </w:t>
            </w:r>
            <w:proofErr w:type="gramStart"/>
            <w:r>
              <w:rPr>
                <w:sz w:val="16"/>
                <w:szCs w:val="16"/>
              </w:rPr>
              <w:t>takes into account</w:t>
            </w:r>
            <w:proofErr w:type="gramEnd"/>
            <w:r>
              <w:rPr>
                <w:sz w:val="16"/>
                <w:szCs w:val="16"/>
              </w:rPr>
              <w:t xml:space="preserve"> stove stacking before the tool can be launched.</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9D8E52A" w14:textId="77777777" w:rsidR="00863150" w:rsidRDefault="00863150">
            <w:pPr>
              <w:keepLines/>
              <w:spacing w:before="40" w:after="40" w:line="190" w:lineRule="exact"/>
              <w:jc w:val="center"/>
              <w:rPr>
                <w:b/>
                <w:bCs/>
                <w:sz w:val="16"/>
                <w:szCs w:val="16"/>
              </w:rPr>
            </w:pPr>
          </w:p>
        </w:tc>
      </w:tr>
      <w:tr w:rsidR="00863150" w14:paraId="0554E67B"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424CB2D2" w14:textId="7EE120AF" w:rsidR="00863150" w:rsidRDefault="000C64E1">
            <w:pPr>
              <w:keepLines/>
              <w:spacing w:before="40" w:after="40" w:line="190" w:lineRule="exact"/>
              <w:jc w:val="center"/>
              <w:rPr>
                <w:b/>
                <w:bCs/>
                <w:sz w:val="16"/>
                <w:szCs w:val="16"/>
              </w:rPr>
            </w:pPr>
            <w:r>
              <w:rPr>
                <w:b/>
                <w:bCs/>
                <w:sz w:val="16"/>
                <w:szCs w:val="16"/>
              </w:rPr>
              <w:t>5</w:t>
            </w:r>
          </w:p>
        </w:tc>
        <w:tc>
          <w:tcPr>
            <w:tcW w:w="1388" w:type="dxa"/>
            <w:tcBorders>
              <w:top w:val="single" w:sz="6" w:space="0" w:color="auto"/>
              <w:left w:val="single" w:sz="6" w:space="0" w:color="auto"/>
              <w:bottom w:val="single" w:sz="6" w:space="0" w:color="auto"/>
              <w:right w:val="single" w:sz="6" w:space="0" w:color="auto"/>
            </w:tcBorders>
          </w:tcPr>
          <w:p w14:paraId="27971AE5" w14:textId="77777777" w:rsidR="00DD628A" w:rsidRPr="00DD628A" w:rsidRDefault="00DD628A" w:rsidP="00DD628A">
            <w:pPr>
              <w:keepLines/>
              <w:spacing w:before="40" w:after="40" w:line="189" w:lineRule="auto"/>
              <w:jc w:val="center"/>
              <w:rPr>
                <w:bCs/>
                <w:sz w:val="16"/>
                <w:szCs w:val="16"/>
                <w:lang w:eastAsia="en-GB"/>
              </w:rPr>
            </w:pPr>
            <w:r w:rsidRPr="00DD628A">
              <w:rPr>
                <w:bCs/>
                <w:sz w:val="16"/>
                <w:szCs w:val="16"/>
                <w:lang w:eastAsia="en-GB"/>
              </w:rPr>
              <w:t>Appendix 2.</w:t>
            </w:r>
          </w:p>
          <w:p w14:paraId="1374F3E4" w14:textId="65E195B6" w:rsidR="00863150" w:rsidRPr="00430776" w:rsidRDefault="00430776">
            <w:pPr>
              <w:keepLines/>
              <w:spacing w:before="40" w:after="40" w:line="190" w:lineRule="exact"/>
              <w:jc w:val="center"/>
              <w:rPr>
                <w:sz w:val="16"/>
                <w:szCs w:val="16"/>
              </w:rPr>
            </w:pPr>
            <w:r w:rsidRPr="00430776">
              <w:rPr>
                <w:sz w:val="16"/>
                <w:szCs w:val="16"/>
              </w:rPr>
              <w:t>Pg 26/27</w:t>
            </w:r>
          </w:p>
        </w:tc>
        <w:tc>
          <w:tcPr>
            <w:tcW w:w="1022" w:type="dxa"/>
            <w:tcBorders>
              <w:top w:val="single" w:sz="6" w:space="0" w:color="auto"/>
              <w:left w:val="single" w:sz="6" w:space="0" w:color="auto"/>
              <w:bottom w:val="single" w:sz="6" w:space="0" w:color="auto"/>
              <w:right w:val="single" w:sz="6" w:space="0" w:color="auto"/>
            </w:tcBorders>
          </w:tcPr>
          <w:p w14:paraId="08BD1DE4" w14:textId="7215F89A" w:rsidR="00863150" w:rsidRDefault="00DD628A">
            <w:pPr>
              <w:keepLines/>
              <w:spacing w:before="40" w:after="40" w:line="190" w:lineRule="exact"/>
              <w:jc w:val="center"/>
              <w:rPr>
                <w:b/>
                <w:bCs/>
                <w:sz w:val="16"/>
                <w:szCs w:val="16"/>
              </w:rPr>
            </w:pPr>
            <w:r w:rsidRPr="00DD628A">
              <w:rPr>
                <w:bCs/>
                <w:sz w:val="16"/>
                <w:szCs w:val="16"/>
                <w:lang w:eastAsia="en-GB"/>
              </w:rPr>
              <w:t>Whole section</w:t>
            </w:r>
          </w:p>
        </w:tc>
        <w:tc>
          <w:tcPr>
            <w:tcW w:w="992" w:type="dxa"/>
            <w:tcBorders>
              <w:top w:val="single" w:sz="6" w:space="0" w:color="auto"/>
              <w:left w:val="single" w:sz="6" w:space="0" w:color="auto"/>
              <w:bottom w:val="single" w:sz="6" w:space="0" w:color="auto"/>
              <w:right w:val="single" w:sz="6" w:space="0" w:color="auto"/>
            </w:tcBorders>
          </w:tcPr>
          <w:p w14:paraId="5A305FCF" w14:textId="5E79A780" w:rsidR="00863150" w:rsidRPr="00743570" w:rsidRDefault="00C65A0C">
            <w:pPr>
              <w:keepLines/>
              <w:spacing w:before="40" w:after="40" w:line="190" w:lineRule="exact"/>
              <w:jc w:val="center"/>
              <w:rPr>
                <w:sz w:val="16"/>
                <w:szCs w:val="16"/>
              </w:rPr>
            </w:pPr>
            <w:proofErr w:type="spellStart"/>
            <w:r w:rsidRPr="00743570">
              <w:rPr>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7B7F7FB7" w14:textId="28C392CE" w:rsidR="005C6EE0" w:rsidRDefault="00430776" w:rsidP="00DD628A">
            <w:pPr>
              <w:keepLines/>
              <w:spacing w:before="40" w:after="40" w:line="190" w:lineRule="exact"/>
              <w:jc w:val="left"/>
              <w:rPr>
                <w:sz w:val="16"/>
                <w:szCs w:val="16"/>
              </w:rPr>
            </w:pPr>
            <w:r w:rsidRPr="00430776">
              <w:rPr>
                <w:sz w:val="16"/>
                <w:szCs w:val="16"/>
              </w:rPr>
              <w:t xml:space="preserve">Three potential methods were chosen to quantify fuel consumption per person. The UNFCCC default of </w:t>
            </w:r>
            <w:r w:rsidR="00E34C4D">
              <w:rPr>
                <w:sz w:val="16"/>
                <w:szCs w:val="16"/>
              </w:rPr>
              <w:t>0.4</w:t>
            </w:r>
            <w:r w:rsidR="00AB2D27" w:rsidRPr="00430776">
              <w:rPr>
                <w:sz w:val="16"/>
                <w:szCs w:val="16"/>
              </w:rPr>
              <w:t xml:space="preserve"> </w:t>
            </w:r>
            <w:r w:rsidR="00E34C4D">
              <w:rPr>
                <w:sz w:val="16"/>
                <w:szCs w:val="16"/>
              </w:rPr>
              <w:t>t</w:t>
            </w:r>
            <w:r w:rsidR="00AB2D27" w:rsidRPr="00430776">
              <w:rPr>
                <w:sz w:val="16"/>
                <w:szCs w:val="16"/>
              </w:rPr>
              <w:t>/</w:t>
            </w:r>
            <w:proofErr w:type="spellStart"/>
            <w:r w:rsidR="00AB2D27" w:rsidRPr="00430776">
              <w:rPr>
                <w:sz w:val="16"/>
                <w:szCs w:val="16"/>
              </w:rPr>
              <w:t>yr</w:t>
            </w:r>
            <w:proofErr w:type="spellEnd"/>
            <w:r w:rsidR="00AB2D27" w:rsidRPr="00430776">
              <w:rPr>
                <w:sz w:val="16"/>
                <w:szCs w:val="16"/>
              </w:rPr>
              <w:t xml:space="preserve"> wood and </w:t>
            </w:r>
            <w:r w:rsidR="00E34C4D">
              <w:rPr>
                <w:sz w:val="16"/>
                <w:szCs w:val="16"/>
              </w:rPr>
              <w:t>67</w:t>
            </w:r>
            <w:r w:rsidR="00AB2D27" w:rsidRPr="00E17C40">
              <w:rPr>
                <w:sz w:val="16"/>
                <w:szCs w:val="16"/>
              </w:rPr>
              <w:t>k</w:t>
            </w:r>
            <w:r w:rsidR="00AB2D27" w:rsidRPr="00430776">
              <w:rPr>
                <w:sz w:val="16"/>
                <w:szCs w:val="16"/>
              </w:rPr>
              <w:t>gs/</w:t>
            </w:r>
            <w:proofErr w:type="spellStart"/>
            <w:r w:rsidR="00AB2D27" w:rsidRPr="00430776">
              <w:rPr>
                <w:sz w:val="16"/>
                <w:szCs w:val="16"/>
              </w:rPr>
              <w:t>yr</w:t>
            </w:r>
            <w:proofErr w:type="spellEnd"/>
            <w:r w:rsidR="00AB2D27" w:rsidRPr="00430776">
              <w:rPr>
                <w:sz w:val="16"/>
                <w:szCs w:val="16"/>
              </w:rPr>
              <w:t xml:space="preserve"> for charcoal </w:t>
            </w:r>
            <w:r w:rsidRPr="00430776">
              <w:rPr>
                <w:sz w:val="16"/>
                <w:szCs w:val="16"/>
              </w:rPr>
              <w:t>was chosen as it was found to be “between the two other methods” of the three.</w:t>
            </w:r>
            <w:r>
              <w:rPr>
                <w:sz w:val="16"/>
                <w:szCs w:val="16"/>
              </w:rPr>
              <w:t xml:space="preserve"> However, the methods used to quantify the others also greatly under-estimated</w:t>
            </w:r>
            <w:r w:rsidR="00BE477F">
              <w:rPr>
                <w:sz w:val="16"/>
                <w:szCs w:val="16"/>
              </w:rPr>
              <w:t xml:space="preserve"> fuel consumption by assuming 15% and 25% thermal efficiency for wood and charcoal respectively. These efficiencies can only be attained by closely tending fires, extinguishing unspent charcoal before it burns </w:t>
            </w:r>
            <w:r w:rsidR="00AB2A13">
              <w:rPr>
                <w:sz w:val="16"/>
                <w:szCs w:val="16"/>
              </w:rPr>
              <w:t>to ashes</w:t>
            </w:r>
            <w:r w:rsidR="00BE477F">
              <w:rPr>
                <w:sz w:val="16"/>
                <w:szCs w:val="16"/>
              </w:rPr>
              <w:t>, etc. In short, they are laboratory results, and results we consistently observe in the field are much lower than this.</w:t>
            </w:r>
          </w:p>
          <w:p w14:paraId="0682D2BC" w14:textId="77777777" w:rsidR="005C6EE0" w:rsidRDefault="005C6EE0" w:rsidP="00DD628A">
            <w:pPr>
              <w:keepLines/>
              <w:spacing w:before="40" w:after="40" w:line="190" w:lineRule="exact"/>
              <w:jc w:val="left"/>
              <w:rPr>
                <w:sz w:val="16"/>
                <w:szCs w:val="16"/>
              </w:rPr>
            </w:pPr>
          </w:p>
          <w:p w14:paraId="6729A1C4" w14:textId="4D47F767" w:rsidR="005C6EE0" w:rsidRDefault="005C6EE0" w:rsidP="00DD628A">
            <w:pPr>
              <w:keepLines/>
              <w:spacing w:before="40" w:after="40" w:line="190" w:lineRule="exact"/>
              <w:jc w:val="left"/>
              <w:rPr>
                <w:sz w:val="16"/>
                <w:szCs w:val="16"/>
              </w:rPr>
            </w:pPr>
            <w:r>
              <w:rPr>
                <w:sz w:val="16"/>
                <w:szCs w:val="16"/>
              </w:rPr>
              <w:t>The method that took averages of all CDM projects included multiple non-African regions (which have much lower consumption) even though the study scope is limited to Africa, thus bringing the average of all CDM projects down significantly.</w:t>
            </w:r>
          </w:p>
          <w:p w14:paraId="4E9162CA" w14:textId="77777777" w:rsidR="005C6EE0" w:rsidRDefault="005C6EE0" w:rsidP="00DD628A">
            <w:pPr>
              <w:keepLines/>
              <w:spacing w:before="40" w:after="40" w:line="190" w:lineRule="exact"/>
              <w:jc w:val="left"/>
              <w:rPr>
                <w:sz w:val="16"/>
                <w:szCs w:val="16"/>
              </w:rPr>
            </w:pPr>
          </w:p>
          <w:p w14:paraId="0CD879F2" w14:textId="248F0A32" w:rsidR="00BE477F" w:rsidRPr="00430776" w:rsidRDefault="00BE477F" w:rsidP="00DD628A">
            <w:pPr>
              <w:keepLines/>
              <w:spacing w:before="40" w:after="40" w:line="190" w:lineRule="exact"/>
              <w:jc w:val="left"/>
              <w:rPr>
                <w:sz w:val="16"/>
                <w:szCs w:val="16"/>
              </w:rPr>
            </w:pPr>
            <w:proofErr w:type="gramStart"/>
            <w:r>
              <w:rPr>
                <w:sz w:val="16"/>
                <w:szCs w:val="16"/>
              </w:rPr>
              <w:t>So</w:t>
            </w:r>
            <w:proofErr w:type="gramEnd"/>
            <w:r>
              <w:rPr>
                <w:sz w:val="16"/>
                <w:szCs w:val="16"/>
              </w:rPr>
              <w:t xml:space="preserve"> the methodology makes it seem like a middle ground has been chosen, when in fact </w:t>
            </w:r>
            <w:r w:rsidR="005C6EE0">
              <w:rPr>
                <w:sz w:val="16"/>
                <w:szCs w:val="16"/>
              </w:rPr>
              <w:t xml:space="preserve">the UNFCCC default isn’t a middle ground at all, and in fact </w:t>
            </w:r>
            <w:r>
              <w:rPr>
                <w:sz w:val="16"/>
                <w:szCs w:val="16"/>
              </w:rPr>
              <w:t>grossly under-estimates fuel consumption</w:t>
            </w:r>
            <w:r w:rsidR="00AB1062">
              <w:rPr>
                <w:sz w:val="16"/>
                <w:szCs w:val="16"/>
              </w:rPr>
              <w:t xml:space="preserve"> compared to real world situations in SSA</w:t>
            </w:r>
            <w:r>
              <w:rPr>
                <w:sz w:val="16"/>
                <w:szCs w:val="16"/>
              </w:rPr>
              <w:t>.</w:t>
            </w:r>
          </w:p>
        </w:tc>
        <w:tc>
          <w:tcPr>
            <w:tcW w:w="4253" w:type="dxa"/>
            <w:tcBorders>
              <w:top w:val="single" w:sz="6" w:space="0" w:color="auto"/>
              <w:left w:val="single" w:sz="6" w:space="0" w:color="auto"/>
              <w:bottom w:val="single" w:sz="6" w:space="0" w:color="auto"/>
              <w:right w:val="single" w:sz="6" w:space="0" w:color="auto"/>
            </w:tcBorders>
          </w:tcPr>
          <w:p w14:paraId="04147800" w14:textId="626627A7" w:rsidR="00405067" w:rsidRPr="00405067" w:rsidRDefault="00405067" w:rsidP="00405067">
            <w:pPr>
              <w:keepLines/>
              <w:spacing w:before="40" w:after="40" w:line="190" w:lineRule="exact"/>
              <w:jc w:val="left"/>
              <w:rPr>
                <w:sz w:val="16"/>
                <w:szCs w:val="16"/>
              </w:rPr>
            </w:pPr>
            <w:r w:rsidRPr="00405067">
              <w:rPr>
                <w:sz w:val="16"/>
                <w:szCs w:val="16"/>
              </w:rPr>
              <w:t>We strongly recommend the researchers use to most appropriative country</w:t>
            </w:r>
            <w:r>
              <w:rPr>
                <w:sz w:val="16"/>
                <w:szCs w:val="16"/>
              </w:rPr>
              <w:t>-</w:t>
            </w:r>
            <w:r w:rsidRPr="00405067">
              <w:rPr>
                <w:sz w:val="16"/>
                <w:szCs w:val="16"/>
              </w:rPr>
              <w:t xml:space="preserve">specific </w:t>
            </w:r>
            <w:proofErr w:type="spellStart"/>
            <w:r w:rsidRPr="00405067">
              <w:rPr>
                <w:sz w:val="16"/>
                <w:szCs w:val="16"/>
              </w:rPr>
              <w:t>woodfuel</w:t>
            </w:r>
            <w:proofErr w:type="spellEnd"/>
            <w:r w:rsidRPr="00405067">
              <w:rPr>
                <w:sz w:val="16"/>
                <w:szCs w:val="16"/>
              </w:rPr>
              <w:t xml:space="preserve"> consumption values based on any official statistics or UN data or through locali</w:t>
            </w:r>
            <w:r>
              <w:rPr>
                <w:sz w:val="16"/>
                <w:szCs w:val="16"/>
              </w:rPr>
              <w:t>z</w:t>
            </w:r>
            <w:r w:rsidRPr="00405067">
              <w:rPr>
                <w:sz w:val="16"/>
                <w:szCs w:val="16"/>
              </w:rPr>
              <w:t>ed surveys etc.</w:t>
            </w:r>
          </w:p>
          <w:p w14:paraId="204C531F" w14:textId="77777777" w:rsidR="00405067" w:rsidRPr="00405067" w:rsidRDefault="00405067" w:rsidP="00405067">
            <w:pPr>
              <w:keepLines/>
              <w:spacing w:before="40" w:after="40" w:line="190" w:lineRule="exact"/>
              <w:jc w:val="left"/>
              <w:rPr>
                <w:sz w:val="16"/>
                <w:szCs w:val="16"/>
              </w:rPr>
            </w:pPr>
          </w:p>
          <w:p w14:paraId="2B1D8BCD" w14:textId="77777777" w:rsidR="00405067" w:rsidRPr="00405067" w:rsidRDefault="00405067" w:rsidP="00405067">
            <w:pPr>
              <w:keepLines/>
              <w:spacing w:before="40" w:after="40" w:line="190" w:lineRule="exact"/>
              <w:jc w:val="left"/>
              <w:rPr>
                <w:sz w:val="16"/>
                <w:szCs w:val="16"/>
              </w:rPr>
            </w:pPr>
            <w:r w:rsidRPr="00405067">
              <w:rPr>
                <w:sz w:val="16"/>
                <w:szCs w:val="16"/>
              </w:rPr>
              <w:t>Proposed text:</w:t>
            </w:r>
          </w:p>
          <w:p w14:paraId="67CAE20C" w14:textId="01C66849" w:rsidR="00863150" w:rsidRPr="002A2DB7" w:rsidRDefault="00405067" w:rsidP="00405067">
            <w:pPr>
              <w:keepLines/>
              <w:spacing w:before="40" w:after="40" w:line="190" w:lineRule="exact"/>
              <w:jc w:val="left"/>
              <w:rPr>
                <w:sz w:val="16"/>
                <w:szCs w:val="16"/>
              </w:rPr>
            </w:pPr>
            <w:r w:rsidRPr="00405067">
              <w:rPr>
                <w:sz w:val="16"/>
                <w:szCs w:val="16"/>
              </w:rPr>
              <w:t xml:space="preserve">“The region-specific </w:t>
            </w:r>
            <w:proofErr w:type="spellStart"/>
            <w:r w:rsidRPr="00405067">
              <w:rPr>
                <w:sz w:val="16"/>
                <w:szCs w:val="16"/>
              </w:rPr>
              <w:t>woodfuel</w:t>
            </w:r>
            <w:proofErr w:type="spellEnd"/>
            <w:r w:rsidRPr="00405067">
              <w:rPr>
                <w:sz w:val="16"/>
                <w:szCs w:val="16"/>
              </w:rPr>
              <w:t xml:space="preserve"> demand is estimated based on consumption statistics as per reliable sources such as regional stud</w:t>
            </w:r>
            <w:r>
              <w:rPr>
                <w:sz w:val="16"/>
                <w:szCs w:val="16"/>
              </w:rPr>
              <w:t>ies</w:t>
            </w:r>
            <w:r w:rsidRPr="00405067">
              <w:rPr>
                <w:sz w:val="16"/>
                <w:szCs w:val="16"/>
              </w:rPr>
              <w:t>, official statistics, UN data, localized surveys, registered PDD</w:t>
            </w:r>
            <w:r>
              <w:rPr>
                <w:sz w:val="16"/>
                <w:szCs w:val="16"/>
              </w:rPr>
              <w:t xml:space="preserve">s, host country published default values, </w:t>
            </w:r>
            <w:r w:rsidRPr="00405067">
              <w:rPr>
                <w:sz w:val="16"/>
                <w:szCs w:val="16"/>
              </w:rPr>
              <w:t>etc.”</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D4EDBD8" w14:textId="77777777" w:rsidR="00863150" w:rsidRDefault="00863150">
            <w:pPr>
              <w:keepLines/>
              <w:spacing w:before="40" w:after="40" w:line="190" w:lineRule="exact"/>
              <w:jc w:val="center"/>
              <w:rPr>
                <w:b/>
                <w:bCs/>
                <w:sz w:val="16"/>
                <w:szCs w:val="16"/>
              </w:rPr>
            </w:pPr>
          </w:p>
        </w:tc>
      </w:tr>
      <w:tr w:rsidR="009D5714" w14:paraId="5C9827B7"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1F08B9D2" w14:textId="00142418" w:rsidR="009D5714" w:rsidRDefault="000C64E1" w:rsidP="009D5714">
            <w:pPr>
              <w:keepLines/>
              <w:spacing w:before="40" w:after="40" w:line="190" w:lineRule="exact"/>
              <w:jc w:val="center"/>
              <w:rPr>
                <w:b/>
                <w:bCs/>
                <w:sz w:val="16"/>
                <w:szCs w:val="16"/>
              </w:rPr>
            </w:pPr>
            <w:r>
              <w:rPr>
                <w:b/>
                <w:bCs/>
                <w:sz w:val="16"/>
                <w:szCs w:val="16"/>
              </w:rPr>
              <w:lastRenderedPageBreak/>
              <w:t>6</w:t>
            </w:r>
          </w:p>
        </w:tc>
        <w:tc>
          <w:tcPr>
            <w:tcW w:w="1388" w:type="dxa"/>
            <w:tcBorders>
              <w:top w:val="single" w:sz="6" w:space="0" w:color="auto"/>
              <w:left w:val="single" w:sz="6" w:space="0" w:color="auto"/>
              <w:bottom w:val="single" w:sz="6" w:space="0" w:color="auto"/>
              <w:right w:val="single" w:sz="6" w:space="0" w:color="auto"/>
            </w:tcBorders>
          </w:tcPr>
          <w:p w14:paraId="7DBB3599" w14:textId="77777777" w:rsidR="009D5714" w:rsidRPr="001D520E" w:rsidRDefault="009D5714" w:rsidP="009D5714">
            <w:pPr>
              <w:keepLines/>
              <w:spacing w:before="40" w:after="40" w:line="189" w:lineRule="auto"/>
              <w:jc w:val="center"/>
              <w:rPr>
                <w:bCs/>
                <w:sz w:val="16"/>
                <w:szCs w:val="16"/>
                <w:lang w:eastAsia="en-GB"/>
              </w:rPr>
            </w:pPr>
            <w:r w:rsidRPr="001D520E">
              <w:rPr>
                <w:bCs/>
                <w:sz w:val="16"/>
                <w:szCs w:val="16"/>
                <w:lang w:eastAsia="en-GB"/>
              </w:rPr>
              <w:t>Appendix 2.</w:t>
            </w:r>
          </w:p>
          <w:p w14:paraId="12043767" w14:textId="77777777" w:rsidR="009D5714" w:rsidRPr="001D520E" w:rsidRDefault="009D5714" w:rsidP="009D5714">
            <w:pPr>
              <w:keepLines/>
              <w:spacing w:before="40" w:after="40" w:line="189" w:lineRule="auto"/>
              <w:jc w:val="center"/>
              <w:rPr>
                <w:bCs/>
                <w:sz w:val="16"/>
                <w:szCs w:val="16"/>
                <w:lang w:eastAsia="en-GB"/>
              </w:rPr>
            </w:pPr>
            <w:r w:rsidRPr="001D520E">
              <w:rPr>
                <w:bCs/>
                <w:sz w:val="16"/>
                <w:szCs w:val="16"/>
                <w:lang w:eastAsia="en-GB"/>
              </w:rPr>
              <w:t>Page No – 22/67</w:t>
            </w:r>
          </w:p>
          <w:p w14:paraId="2CCD7645" w14:textId="46CE37F8" w:rsidR="009D5714" w:rsidRPr="001D520E" w:rsidRDefault="009D5714" w:rsidP="009D5714">
            <w:pPr>
              <w:keepLines/>
              <w:spacing w:before="40" w:after="40" w:line="190" w:lineRule="exact"/>
              <w:jc w:val="center"/>
              <w:rPr>
                <w:bCs/>
                <w:sz w:val="16"/>
                <w:szCs w:val="16"/>
              </w:rPr>
            </w:pPr>
            <w:r w:rsidRPr="001D520E">
              <w:rPr>
                <w:bCs/>
                <w:sz w:val="16"/>
                <w:szCs w:val="16"/>
                <w:lang w:eastAsia="en-GB"/>
              </w:rPr>
              <w:t>Para No - 1</w:t>
            </w:r>
          </w:p>
        </w:tc>
        <w:tc>
          <w:tcPr>
            <w:tcW w:w="1022" w:type="dxa"/>
            <w:tcBorders>
              <w:top w:val="single" w:sz="6" w:space="0" w:color="auto"/>
              <w:left w:val="single" w:sz="6" w:space="0" w:color="auto"/>
              <w:bottom w:val="single" w:sz="6" w:space="0" w:color="auto"/>
              <w:right w:val="single" w:sz="6" w:space="0" w:color="auto"/>
            </w:tcBorders>
          </w:tcPr>
          <w:p w14:paraId="613F0BC2" w14:textId="7045FEDB" w:rsidR="009D5714" w:rsidRPr="001D520E" w:rsidRDefault="009D5714" w:rsidP="009D5714">
            <w:pPr>
              <w:keepLines/>
              <w:spacing w:before="40" w:after="40" w:line="190" w:lineRule="exact"/>
              <w:jc w:val="center"/>
              <w:rPr>
                <w:bCs/>
                <w:sz w:val="16"/>
                <w:szCs w:val="16"/>
              </w:rPr>
            </w:pPr>
            <w:r w:rsidRPr="001D520E">
              <w:rPr>
                <w:bCs/>
                <w:sz w:val="16"/>
                <w:szCs w:val="16"/>
                <w:lang w:eastAsia="en-GB"/>
              </w:rPr>
              <w:t>7</w:t>
            </w:r>
          </w:p>
        </w:tc>
        <w:tc>
          <w:tcPr>
            <w:tcW w:w="992" w:type="dxa"/>
            <w:tcBorders>
              <w:top w:val="single" w:sz="6" w:space="0" w:color="auto"/>
              <w:left w:val="single" w:sz="6" w:space="0" w:color="auto"/>
              <w:bottom w:val="single" w:sz="6" w:space="0" w:color="auto"/>
              <w:right w:val="single" w:sz="6" w:space="0" w:color="auto"/>
            </w:tcBorders>
          </w:tcPr>
          <w:p w14:paraId="4AB2F162" w14:textId="03161DA7" w:rsidR="009D5714" w:rsidRPr="00743570" w:rsidRDefault="001D520E" w:rsidP="009D5714">
            <w:pPr>
              <w:keepLines/>
              <w:spacing w:before="40" w:after="40" w:line="190" w:lineRule="exact"/>
              <w:jc w:val="center"/>
              <w:rPr>
                <w:bCs/>
                <w:sz w:val="16"/>
                <w:szCs w:val="16"/>
              </w:rPr>
            </w:pPr>
            <w:proofErr w:type="spellStart"/>
            <w:r w:rsidRPr="00743570">
              <w:rPr>
                <w:bCs/>
                <w:sz w:val="16"/>
                <w:szCs w:val="16"/>
                <w:lang w:eastAsia="en-GB"/>
              </w:rPr>
              <w:t>t</w:t>
            </w:r>
            <w:r w:rsidR="009D5714" w:rsidRPr="00743570">
              <w:rPr>
                <w:bCs/>
                <w:sz w:val="16"/>
                <w:szCs w:val="16"/>
                <w:lang w:eastAsia="en-GB"/>
              </w:rPr>
              <w:t>e</w:t>
            </w:r>
            <w:proofErr w:type="spellEnd"/>
          </w:p>
        </w:tc>
        <w:tc>
          <w:tcPr>
            <w:tcW w:w="4762" w:type="dxa"/>
            <w:tcBorders>
              <w:top w:val="single" w:sz="6" w:space="0" w:color="auto"/>
              <w:left w:val="single" w:sz="6" w:space="0" w:color="auto"/>
              <w:bottom w:val="single" w:sz="6" w:space="0" w:color="auto"/>
              <w:right w:val="single" w:sz="6" w:space="0" w:color="auto"/>
            </w:tcBorders>
          </w:tcPr>
          <w:p w14:paraId="74457F94" w14:textId="77777777" w:rsidR="009D5714" w:rsidRPr="009D5714" w:rsidRDefault="009D5714" w:rsidP="009D5714">
            <w:pPr>
              <w:keepLines/>
              <w:spacing w:before="40" w:after="40" w:line="189" w:lineRule="auto"/>
              <w:rPr>
                <w:b/>
                <w:sz w:val="16"/>
                <w:szCs w:val="16"/>
                <w:lang w:eastAsia="en-GB"/>
              </w:rPr>
            </w:pPr>
            <w:r w:rsidRPr="009D5714">
              <w:rPr>
                <w:b/>
                <w:sz w:val="16"/>
                <w:szCs w:val="16"/>
                <w:lang w:eastAsia="en-GB"/>
              </w:rPr>
              <w:t xml:space="preserve">Biomass Growth Functions </w:t>
            </w:r>
          </w:p>
          <w:p w14:paraId="508A2162" w14:textId="7C099A6C" w:rsidR="009D5714" w:rsidRDefault="00743570" w:rsidP="009D5714">
            <w:pPr>
              <w:keepLines/>
              <w:spacing w:before="40" w:after="40" w:line="189" w:lineRule="auto"/>
              <w:rPr>
                <w:bCs/>
                <w:sz w:val="16"/>
                <w:szCs w:val="16"/>
                <w:lang w:eastAsia="en-GB"/>
              </w:rPr>
            </w:pPr>
            <w:r>
              <w:rPr>
                <w:bCs/>
                <w:sz w:val="16"/>
                <w:szCs w:val="16"/>
                <w:lang w:eastAsia="en-GB"/>
              </w:rPr>
              <w:t>The</w:t>
            </w:r>
            <w:r w:rsidR="009D5714" w:rsidRPr="009D5714">
              <w:rPr>
                <w:bCs/>
                <w:sz w:val="16"/>
                <w:szCs w:val="16"/>
                <w:lang w:eastAsia="en-GB"/>
              </w:rPr>
              <w:t xml:space="preserve"> work </w:t>
            </w:r>
            <w:r>
              <w:rPr>
                <w:bCs/>
                <w:sz w:val="16"/>
                <w:szCs w:val="16"/>
                <w:lang w:eastAsia="en-GB"/>
              </w:rPr>
              <w:t>cites</w:t>
            </w:r>
            <w:r w:rsidR="009D5714" w:rsidRPr="009D5714">
              <w:rPr>
                <w:bCs/>
                <w:sz w:val="16"/>
                <w:szCs w:val="16"/>
                <w:lang w:eastAsia="en-GB"/>
              </w:rPr>
              <w:t xml:space="preserve"> biomass growth rates from the IPCC’s 2019 Refinement to the 2006 IPCC Guidelines for National Greenhouse Gas Inventories to estimate the annual biomass growth potential. As per IPCC, the forests are categorized into 3 heads considering their age, Primary, Secondary &gt;20 years and Secondary ≤ 20 years and their respective growth rates were published for various ecological zones. The Table 4.12 of 2019 Refinement to the 2006 IPCC Guidelines for National Greenhouse Gas Inventories (Volume 4: Agriculture, Forestry and Other Land Use) </w:t>
            </w:r>
            <w:r w:rsidR="009D5714">
              <w:rPr>
                <w:bCs/>
                <w:sz w:val="16"/>
                <w:szCs w:val="16"/>
                <w:lang w:eastAsia="en-GB"/>
              </w:rPr>
              <w:t>highlights</w:t>
            </w:r>
            <w:r w:rsidR="009D5714" w:rsidRPr="009D5714">
              <w:rPr>
                <w:bCs/>
                <w:sz w:val="16"/>
                <w:szCs w:val="16"/>
                <w:lang w:eastAsia="en-GB"/>
              </w:rPr>
              <w:t xml:space="preserve"> the aboveground net biomass growth rate for these 3 age categories, wherein the growth rate for Secondary Forest ≤ 20 years </w:t>
            </w:r>
            <w:r w:rsidR="009D5714">
              <w:rPr>
                <w:bCs/>
                <w:sz w:val="16"/>
                <w:szCs w:val="16"/>
                <w:lang w:eastAsia="en-GB"/>
              </w:rPr>
              <w:t>is</w:t>
            </w:r>
            <w:r w:rsidR="009D5714" w:rsidRPr="009D5714">
              <w:rPr>
                <w:bCs/>
                <w:sz w:val="16"/>
                <w:szCs w:val="16"/>
                <w:lang w:eastAsia="en-GB"/>
              </w:rPr>
              <w:t xml:space="preserve"> much higher than </w:t>
            </w:r>
            <w:r w:rsidR="009D5714">
              <w:rPr>
                <w:bCs/>
                <w:sz w:val="16"/>
                <w:szCs w:val="16"/>
                <w:lang w:eastAsia="en-GB"/>
              </w:rPr>
              <w:t xml:space="preserve">that </w:t>
            </w:r>
            <w:r w:rsidR="009D5714" w:rsidRPr="009D5714">
              <w:rPr>
                <w:bCs/>
                <w:sz w:val="16"/>
                <w:szCs w:val="16"/>
                <w:lang w:eastAsia="en-GB"/>
              </w:rPr>
              <w:t xml:space="preserve">of Primary Forest and Secondary Forest &gt;20 years. </w:t>
            </w:r>
            <w:r w:rsidR="009D5714">
              <w:rPr>
                <w:bCs/>
                <w:sz w:val="16"/>
                <w:szCs w:val="16"/>
                <w:lang w:eastAsia="en-GB"/>
              </w:rPr>
              <w:t>Importantly, t</w:t>
            </w:r>
            <w:r w:rsidR="009D5714" w:rsidRPr="009D5714">
              <w:rPr>
                <w:bCs/>
                <w:sz w:val="16"/>
                <w:szCs w:val="16"/>
                <w:lang w:eastAsia="en-GB"/>
              </w:rPr>
              <w:t xml:space="preserve">he work only considers growth rate of Secondary Forest ≤ 20 years </w:t>
            </w:r>
            <w:r w:rsidR="009D5714">
              <w:rPr>
                <w:bCs/>
                <w:sz w:val="16"/>
                <w:szCs w:val="16"/>
                <w:lang w:eastAsia="en-GB"/>
              </w:rPr>
              <w:t xml:space="preserve">for the value of </w:t>
            </w:r>
            <w:proofErr w:type="spellStart"/>
            <w:r w:rsidR="009D5714" w:rsidRPr="009D5714">
              <w:rPr>
                <w:bCs/>
                <w:sz w:val="16"/>
                <w:szCs w:val="16"/>
                <w:lang w:eastAsia="en-GB"/>
              </w:rPr>
              <w:t>rmax</w:t>
            </w:r>
            <w:proofErr w:type="spellEnd"/>
            <w:r w:rsidR="009D5714" w:rsidRPr="009D5714">
              <w:rPr>
                <w:bCs/>
                <w:sz w:val="16"/>
                <w:szCs w:val="16"/>
                <w:lang w:eastAsia="en-GB"/>
              </w:rPr>
              <w:t xml:space="preserve"> to calculate the biomass availability (supply). </w:t>
            </w:r>
          </w:p>
          <w:p w14:paraId="293C39E4" w14:textId="5252E0E2" w:rsidR="009D5714" w:rsidRPr="009D5714" w:rsidRDefault="009D5714" w:rsidP="009D5714">
            <w:pPr>
              <w:keepLines/>
              <w:spacing w:before="40" w:after="40" w:line="189" w:lineRule="auto"/>
              <w:rPr>
                <w:bCs/>
                <w:sz w:val="16"/>
                <w:szCs w:val="16"/>
                <w:lang w:eastAsia="en-GB"/>
              </w:rPr>
            </w:pPr>
            <w:r w:rsidRPr="009D5714">
              <w:rPr>
                <w:bCs/>
                <w:sz w:val="16"/>
                <w:szCs w:val="16"/>
                <w:lang w:eastAsia="en-GB"/>
              </w:rPr>
              <w:t xml:space="preserve">This </w:t>
            </w:r>
            <w:r>
              <w:rPr>
                <w:bCs/>
                <w:sz w:val="16"/>
                <w:szCs w:val="16"/>
                <w:lang w:eastAsia="en-GB"/>
              </w:rPr>
              <w:t>raises</w:t>
            </w:r>
            <w:r w:rsidRPr="009D5714">
              <w:rPr>
                <w:bCs/>
                <w:sz w:val="16"/>
                <w:szCs w:val="16"/>
                <w:lang w:eastAsia="en-GB"/>
              </w:rPr>
              <w:t xml:space="preserve"> the following </w:t>
            </w:r>
            <w:r>
              <w:rPr>
                <w:bCs/>
                <w:sz w:val="16"/>
                <w:szCs w:val="16"/>
                <w:lang w:eastAsia="en-GB"/>
              </w:rPr>
              <w:t>points:</w:t>
            </w:r>
          </w:p>
          <w:p w14:paraId="0685B3AD" w14:textId="04250962" w:rsidR="009D5714" w:rsidRPr="009D5714" w:rsidRDefault="009D5714" w:rsidP="009D5714">
            <w:pPr>
              <w:pStyle w:val="ListParagraph"/>
              <w:keepLines/>
              <w:numPr>
                <w:ilvl w:val="0"/>
                <w:numId w:val="5"/>
              </w:numPr>
              <w:spacing w:before="40" w:after="40" w:line="189" w:lineRule="auto"/>
              <w:rPr>
                <w:bCs/>
                <w:sz w:val="16"/>
                <w:szCs w:val="16"/>
                <w:lang w:eastAsia="en-GB"/>
              </w:rPr>
            </w:pPr>
            <w:r>
              <w:rPr>
                <w:bCs/>
                <w:sz w:val="16"/>
                <w:szCs w:val="16"/>
                <w:lang w:eastAsia="en-GB"/>
              </w:rPr>
              <w:t>If forests in SSA are anything other than the fastest growing category of secondary forest, this approach would dramatically inflate the re</w:t>
            </w:r>
            <w:r w:rsidRPr="009D5714">
              <w:rPr>
                <w:bCs/>
                <w:sz w:val="16"/>
                <w:szCs w:val="16"/>
                <w:lang w:eastAsia="en-GB"/>
              </w:rPr>
              <w:t>growth potential and availability of renewable biomass and provide us</w:t>
            </w:r>
            <w:r>
              <w:rPr>
                <w:bCs/>
                <w:sz w:val="16"/>
                <w:szCs w:val="16"/>
                <w:lang w:eastAsia="en-GB"/>
              </w:rPr>
              <w:t xml:space="preserve"> </w:t>
            </w:r>
            <w:r w:rsidRPr="009D5714">
              <w:rPr>
                <w:bCs/>
                <w:sz w:val="16"/>
                <w:szCs w:val="16"/>
                <w:lang w:eastAsia="en-GB"/>
              </w:rPr>
              <w:t>a false indication rate of forest depletion</w:t>
            </w:r>
            <w:r>
              <w:rPr>
                <w:bCs/>
                <w:sz w:val="16"/>
                <w:szCs w:val="16"/>
                <w:lang w:eastAsia="en-GB"/>
              </w:rPr>
              <w:t>.</w:t>
            </w:r>
          </w:p>
          <w:p w14:paraId="524AB123" w14:textId="26C0EB48" w:rsidR="009D5714" w:rsidRPr="009D5714" w:rsidRDefault="009D5714" w:rsidP="009D5714">
            <w:pPr>
              <w:pStyle w:val="ListParagraph"/>
              <w:keepLines/>
              <w:numPr>
                <w:ilvl w:val="0"/>
                <w:numId w:val="5"/>
              </w:numPr>
              <w:spacing w:before="40" w:after="40" w:line="189" w:lineRule="auto"/>
              <w:rPr>
                <w:bCs/>
                <w:sz w:val="16"/>
                <w:szCs w:val="16"/>
                <w:lang w:eastAsia="en-GB"/>
              </w:rPr>
            </w:pPr>
            <w:r>
              <w:rPr>
                <w:bCs/>
                <w:sz w:val="16"/>
                <w:szCs w:val="16"/>
                <w:lang w:eastAsia="en-GB"/>
              </w:rPr>
              <w:t>No evidence has been presented that</w:t>
            </w:r>
            <w:r w:rsidRPr="009D5714">
              <w:rPr>
                <w:bCs/>
                <w:sz w:val="16"/>
                <w:szCs w:val="16"/>
                <w:lang w:eastAsia="en-GB"/>
              </w:rPr>
              <w:t xml:space="preserve"> </w:t>
            </w:r>
            <w:r>
              <w:rPr>
                <w:bCs/>
                <w:sz w:val="16"/>
                <w:szCs w:val="16"/>
                <w:lang w:eastAsia="en-GB"/>
              </w:rPr>
              <w:t xml:space="preserve">only </w:t>
            </w:r>
            <w:r w:rsidRPr="009D5714">
              <w:rPr>
                <w:bCs/>
                <w:sz w:val="16"/>
                <w:szCs w:val="16"/>
                <w:lang w:eastAsia="en-GB"/>
              </w:rPr>
              <w:t xml:space="preserve">Secondary Forest area ≤ 20 years </w:t>
            </w:r>
            <w:r>
              <w:rPr>
                <w:bCs/>
                <w:sz w:val="16"/>
                <w:szCs w:val="16"/>
                <w:lang w:eastAsia="en-GB"/>
              </w:rPr>
              <w:t>are</w:t>
            </w:r>
            <w:r w:rsidRPr="009D5714">
              <w:rPr>
                <w:bCs/>
                <w:sz w:val="16"/>
                <w:szCs w:val="16"/>
                <w:lang w:eastAsia="en-GB"/>
              </w:rPr>
              <w:t xml:space="preserve"> harvested by the local population</w:t>
            </w:r>
            <w:r>
              <w:rPr>
                <w:bCs/>
                <w:sz w:val="16"/>
                <w:szCs w:val="16"/>
                <w:lang w:eastAsia="en-GB"/>
              </w:rPr>
              <w:t xml:space="preserve"> for </w:t>
            </w:r>
            <w:r w:rsidRPr="009D5714">
              <w:rPr>
                <w:bCs/>
                <w:sz w:val="16"/>
                <w:szCs w:val="16"/>
                <w:lang w:eastAsia="en-GB"/>
              </w:rPr>
              <w:t>firewood merchants &amp; charcoal producers</w:t>
            </w:r>
            <w:r>
              <w:rPr>
                <w:bCs/>
                <w:sz w:val="16"/>
                <w:szCs w:val="16"/>
                <w:lang w:eastAsia="en-GB"/>
              </w:rPr>
              <w:t>, and our field experience suggest this not to be the case.</w:t>
            </w:r>
          </w:p>
          <w:p w14:paraId="4DE3299F" w14:textId="643262EA" w:rsidR="009D5714" w:rsidRPr="009D5714" w:rsidRDefault="009D5714" w:rsidP="009D5714">
            <w:pPr>
              <w:pStyle w:val="ListParagraph"/>
              <w:keepLines/>
              <w:numPr>
                <w:ilvl w:val="0"/>
                <w:numId w:val="5"/>
              </w:numPr>
              <w:spacing w:before="40" w:after="40" w:line="189" w:lineRule="auto"/>
              <w:rPr>
                <w:bCs/>
                <w:sz w:val="16"/>
                <w:szCs w:val="16"/>
                <w:lang w:eastAsia="en-GB"/>
              </w:rPr>
            </w:pPr>
            <w:r w:rsidRPr="009D5714">
              <w:rPr>
                <w:bCs/>
                <w:sz w:val="16"/>
                <w:szCs w:val="16"/>
                <w:lang w:eastAsia="en-GB"/>
              </w:rPr>
              <w:t xml:space="preserve">If we assume </w:t>
            </w:r>
            <w:r w:rsidR="00743570">
              <w:rPr>
                <w:bCs/>
                <w:sz w:val="16"/>
                <w:szCs w:val="16"/>
                <w:lang w:eastAsia="en-GB"/>
              </w:rPr>
              <w:t xml:space="preserve">that </w:t>
            </w:r>
            <w:r w:rsidRPr="009D5714">
              <w:rPr>
                <w:bCs/>
                <w:sz w:val="16"/>
                <w:szCs w:val="16"/>
                <w:lang w:eastAsia="en-GB"/>
              </w:rPr>
              <w:t xml:space="preserve">Primary Forests are </w:t>
            </w:r>
            <w:r>
              <w:rPr>
                <w:bCs/>
                <w:sz w:val="16"/>
                <w:szCs w:val="16"/>
                <w:lang w:eastAsia="en-GB"/>
              </w:rPr>
              <w:t xml:space="preserve">found primarily in </w:t>
            </w:r>
            <w:r w:rsidRPr="009D5714">
              <w:rPr>
                <w:bCs/>
                <w:sz w:val="16"/>
                <w:szCs w:val="16"/>
                <w:lang w:eastAsia="en-GB"/>
              </w:rPr>
              <w:t xml:space="preserve">protected </w:t>
            </w:r>
            <w:r>
              <w:rPr>
                <w:bCs/>
                <w:sz w:val="16"/>
                <w:szCs w:val="16"/>
                <w:lang w:eastAsia="en-GB"/>
              </w:rPr>
              <w:t>areas,</w:t>
            </w:r>
            <w:r w:rsidRPr="009D5714">
              <w:rPr>
                <w:bCs/>
                <w:sz w:val="16"/>
                <w:szCs w:val="16"/>
                <w:lang w:eastAsia="en-GB"/>
              </w:rPr>
              <w:t xml:space="preserve"> then </w:t>
            </w:r>
            <w:r>
              <w:rPr>
                <w:bCs/>
                <w:sz w:val="16"/>
                <w:szCs w:val="16"/>
                <w:lang w:eastAsia="en-GB"/>
              </w:rPr>
              <w:t xml:space="preserve">how </w:t>
            </w:r>
            <w:r w:rsidR="00743570">
              <w:rPr>
                <w:bCs/>
                <w:sz w:val="16"/>
                <w:szCs w:val="16"/>
                <w:lang w:eastAsia="en-GB"/>
              </w:rPr>
              <w:t>can</w:t>
            </w:r>
            <w:r>
              <w:rPr>
                <w:bCs/>
                <w:sz w:val="16"/>
                <w:szCs w:val="16"/>
                <w:lang w:eastAsia="en-GB"/>
              </w:rPr>
              <w:t xml:space="preserve"> the model assume both that there is a</w:t>
            </w:r>
            <w:r w:rsidRPr="009D5714">
              <w:rPr>
                <w:bCs/>
                <w:sz w:val="16"/>
                <w:szCs w:val="16"/>
                <w:lang w:eastAsia="en-GB"/>
              </w:rPr>
              <w:t xml:space="preserve"> 10% likelihood </w:t>
            </w:r>
            <w:r>
              <w:rPr>
                <w:bCs/>
                <w:sz w:val="16"/>
                <w:szCs w:val="16"/>
                <w:lang w:eastAsia="en-GB"/>
              </w:rPr>
              <w:t>that</w:t>
            </w:r>
            <w:r w:rsidRPr="009D5714">
              <w:rPr>
                <w:bCs/>
                <w:sz w:val="16"/>
                <w:szCs w:val="16"/>
                <w:lang w:eastAsia="en-GB"/>
              </w:rPr>
              <w:t xml:space="preserve"> wood </w:t>
            </w:r>
            <w:r>
              <w:rPr>
                <w:bCs/>
                <w:sz w:val="16"/>
                <w:szCs w:val="16"/>
                <w:lang w:eastAsia="en-GB"/>
              </w:rPr>
              <w:t xml:space="preserve">is </w:t>
            </w:r>
            <w:r w:rsidRPr="009D5714">
              <w:rPr>
                <w:bCs/>
                <w:sz w:val="16"/>
                <w:szCs w:val="16"/>
                <w:lang w:eastAsia="en-GB"/>
              </w:rPr>
              <w:t>harvest</w:t>
            </w:r>
            <w:r>
              <w:rPr>
                <w:bCs/>
                <w:sz w:val="16"/>
                <w:szCs w:val="16"/>
                <w:lang w:eastAsia="en-GB"/>
              </w:rPr>
              <w:t>ed</w:t>
            </w:r>
            <w:r w:rsidRPr="009D5714">
              <w:rPr>
                <w:bCs/>
                <w:sz w:val="16"/>
                <w:szCs w:val="16"/>
                <w:lang w:eastAsia="en-GB"/>
              </w:rPr>
              <w:t xml:space="preserve"> within </w:t>
            </w:r>
            <w:r>
              <w:rPr>
                <w:bCs/>
                <w:sz w:val="16"/>
                <w:szCs w:val="16"/>
                <w:lang w:eastAsia="en-GB"/>
              </w:rPr>
              <w:t>a</w:t>
            </w:r>
            <w:r w:rsidRPr="009D5714">
              <w:rPr>
                <w:bCs/>
                <w:sz w:val="16"/>
                <w:szCs w:val="16"/>
                <w:lang w:eastAsia="en-GB"/>
              </w:rPr>
              <w:t xml:space="preserve"> protected are</w:t>
            </w:r>
            <w:r>
              <w:rPr>
                <w:bCs/>
                <w:sz w:val="16"/>
                <w:szCs w:val="16"/>
                <w:lang w:eastAsia="en-GB"/>
              </w:rPr>
              <w:t xml:space="preserve">a AND that the regrowth rate is sourced exclusively from </w:t>
            </w:r>
            <w:r w:rsidRPr="009D5714">
              <w:rPr>
                <w:bCs/>
                <w:sz w:val="16"/>
                <w:szCs w:val="16"/>
                <w:lang w:eastAsia="en-GB"/>
              </w:rPr>
              <w:t>Secondary Forest area</w:t>
            </w:r>
            <w:r w:rsidR="00743570">
              <w:rPr>
                <w:bCs/>
                <w:sz w:val="16"/>
                <w:szCs w:val="16"/>
                <w:lang w:eastAsia="en-GB"/>
              </w:rPr>
              <w:t>s</w:t>
            </w:r>
            <w:r w:rsidRPr="009D5714">
              <w:rPr>
                <w:bCs/>
                <w:sz w:val="16"/>
                <w:szCs w:val="16"/>
                <w:lang w:eastAsia="en-GB"/>
              </w:rPr>
              <w:t xml:space="preserve"> ≤ 20 years</w:t>
            </w:r>
            <w:r>
              <w:rPr>
                <w:bCs/>
                <w:sz w:val="16"/>
                <w:szCs w:val="16"/>
                <w:lang w:eastAsia="en-GB"/>
              </w:rPr>
              <w:t>?</w:t>
            </w:r>
            <w:r w:rsidR="00743570">
              <w:rPr>
                <w:bCs/>
                <w:sz w:val="16"/>
                <w:szCs w:val="16"/>
                <w:lang w:eastAsia="en-GB"/>
              </w:rPr>
              <w:t xml:space="preserve"> The two approaches are </w:t>
            </w:r>
            <w:r w:rsidR="000553B8">
              <w:rPr>
                <w:bCs/>
                <w:sz w:val="16"/>
                <w:szCs w:val="16"/>
                <w:lang w:eastAsia="en-GB"/>
              </w:rPr>
              <w:t>contradictory.</w:t>
            </w:r>
          </w:p>
        </w:tc>
        <w:tc>
          <w:tcPr>
            <w:tcW w:w="4253" w:type="dxa"/>
            <w:tcBorders>
              <w:top w:val="single" w:sz="6" w:space="0" w:color="auto"/>
              <w:left w:val="single" w:sz="6" w:space="0" w:color="auto"/>
              <w:bottom w:val="single" w:sz="6" w:space="0" w:color="auto"/>
              <w:right w:val="single" w:sz="6" w:space="0" w:color="auto"/>
            </w:tcBorders>
          </w:tcPr>
          <w:p w14:paraId="4A652FFC" w14:textId="77777777" w:rsidR="009D5714" w:rsidRPr="009D5714" w:rsidRDefault="009D5714" w:rsidP="009D5714">
            <w:pPr>
              <w:keepLines/>
              <w:spacing w:before="40" w:after="40" w:line="189" w:lineRule="auto"/>
              <w:jc w:val="left"/>
              <w:rPr>
                <w:b/>
                <w:sz w:val="16"/>
                <w:szCs w:val="16"/>
                <w:lang w:eastAsia="en-GB"/>
              </w:rPr>
            </w:pPr>
          </w:p>
          <w:p w14:paraId="1D593FCA" w14:textId="6B95689D" w:rsidR="009D5714" w:rsidRPr="009D5714" w:rsidRDefault="009D5714" w:rsidP="009D5714">
            <w:pPr>
              <w:keepLines/>
              <w:spacing w:before="40" w:after="40" w:line="189" w:lineRule="auto"/>
              <w:rPr>
                <w:sz w:val="16"/>
                <w:szCs w:val="16"/>
                <w:lang w:eastAsia="en-GB"/>
              </w:rPr>
            </w:pPr>
            <w:r w:rsidRPr="009D5714">
              <w:rPr>
                <w:sz w:val="16"/>
                <w:szCs w:val="16"/>
                <w:lang w:eastAsia="en-GB"/>
              </w:rPr>
              <w:t>We strongly recommend the researchers use the aboveground net biomass growth rates as defined by the IPCC’s 2019 Refinement to the 2006 IPCC Guidelines for National Greenhouse Gas Inventories specific</w:t>
            </w:r>
            <w:r w:rsidR="001D520E">
              <w:rPr>
                <w:sz w:val="16"/>
                <w:szCs w:val="16"/>
                <w:lang w:eastAsia="en-GB"/>
              </w:rPr>
              <w:t xml:space="preserve"> </w:t>
            </w:r>
            <w:r w:rsidRPr="009D5714">
              <w:rPr>
                <w:sz w:val="16"/>
                <w:szCs w:val="16"/>
                <w:lang w:eastAsia="en-GB"/>
              </w:rPr>
              <w:t xml:space="preserve">to the respective age category of the forest types to determine </w:t>
            </w:r>
            <w:proofErr w:type="spellStart"/>
            <w:r w:rsidRPr="009D5714">
              <w:rPr>
                <w:sz w:val="16"/>
                <w:szCs w:val="16"/>
                <w:lang w:eastAsia="en-GB"/>
              </w:rPr>
              <w:t>rmax</w:t>
            </w:r>
            <w:proofErr w:type="spellEnd"/>
            <w:r w:rsidR="001D520E">
              <w:rPr>
                <w:sz w:val="16"/>
                <w:szCs w:val="16"/>
                <w:lang w:eastAsia="en-GB"/>
              </w:rPr>
              <w:t xml:space="preserve"> </w:t>
            </w:r>
            <w:proofErr w:type="gramStart"/>
            <w:r w:rsidR="001D520E">
              <w:rPr>
                <w:sz w:val="16"/>
                <w:szCs w:val="16"/>
                <w:lang w:eastAsia="en-GB"/>
              </w:rPr>
              <w:t>in order to</w:t>
            </w:r>
            <w:proofErr w:type="gramEnd"/>
            <w:r w:rsidR="001D520E">
              <w:rPr>
                <w:sz w:val="16"/>
                <w:szCs w:val="16"/>
                <w:lang w:eastAsia="en-GB"/>
              </w:rPr>
              <w:t xml:space="preserve"> apply a more </w:t>
            </w:r>
            <w:r w:rsidRPr="009D5714">
              <w:rPr>
                <w:sz w:val="16"/>
                <w:szCs w:val="16"/>
                <w:lang w:eastAsia="en-GB"/>
              </w:rPr>
              <w:t xml:space="preserve">realistic </w:t>
            </w:r>
            <w:r w:rsidR="001D520E">
              <w:rPr>
                <w:sz w:val="16"/>
                <w:szCs w:val="16"/>
                <w:lang w:eastAsia="en-GB"/>
              </w:rPr>
              <w:t>regrowth capacity</w:t>
            </w:r>
            <w:r w:rsidRPr="009D5714">
              <w:rPr>
                <w:sz w:val="16"/>
                <w:szCs w:val="16"/>
                <w:lang w:eastAsia="en-GB"/>
              </w:rPr>
              <w:t xml:space="preserve">. Also, the split of various forest age categories </w:t>
            </w:r>
            <w:r w:rsidR="001D520E">
              <w:rPr>
                <w:sz w:val="16"/>
                <w:szCs w:val="16"/>
                <w:lang w:eastAsia="en-GB"/>
              </w:rPr>
              <w:t xml:space="preserve">should </w:t>
            </w:r>
            <w:r w:rsidRPr="009D5714">
              <w:rPr>
                <w:sz w:val="16"/>
                <w:szCs w:val="16"/>
                <w:lang w:eastAsia="en-GB"/>
              </w:rPr>
              <w:t xml:space="preserve">be sourced from the </w:t>
            </w:r>
            <w:r w:rsidR="001D520E">
              <w:rPr>
                <w:sz w:val="16"/>
                <w:szCs w:val="16"/>
                <w:lang w:eastAsia="en-GB"/>
              </w:rPr>
              <w:t xml:space="preserve">relevant </w:t>
            </w:r>
            <w:r w:rsidRPr="009D5714">
              <w:rPr>
                <w:sz w:val="16"/>
                <w:szCs w:val="16"/>
                <w:lang w:eastAsia="en-GB"/>
              </w:rPr>
              <w:t>host countries and applied in the calculation</w:t>
            </w:r>
            <w:r w:rsidR="001D520E">
              <w:rPr>
                <w:sz w:val="16"/>
                <w:szCs w:val="16"/>
                <w:lang w:eastAsia="en-GB"/>
              </w:rPr>
              <w:t>.</w:t>
            </w:r>
          </w:p>
          <w:p w14:paraId="03F0D9EA" w14:textId="77777777" w:rsidR="009D5714" w:rsidRPr="009D5714" w:rsidRDefault="009D5714" w:rsidP="009D5714">
            <w:pPr>
              <w:keepLines/>
              <w:spacing w:before="40" w:after="40" w:line="189" w:lineRule="auto"/>
              <w:rPr>
                <w:sz w:val="16"/>
                <w:szCs w:val="16"/>
                <w:lang w:eastAsia="en-GB"/>
              </w:rPr>
            </w:pPr>
          </w:p>
          <w:p w14:paraId="49E49BF5" w14:textId="77777777" w:rsidR="009D5714" w:rsidRDefault="009D5714" w:rsidP="009D5714">
            <w:pPr>
              <w:keepLines/>
              <w:spacing w:before="40" w:after="40" w:line="189" w:lineRule="auto"/>
              <w:rPr>
                <w:sz w:val="16"/>
                <w:szCs w:val="16"/>
                <w:lang w:eastAsia="en-GB"/>
              </w:rPr>
            </w:pPr>
            <w:r w:rsidRPr="009D5714">
              <w:rPr>
                <w:sz w:val="16"/>
                <w:szCs w:val="16"/>
                <w:lang w:eastAsia="en-GB"/>
              </w:rPr>
              <w:t>Proposed text:</w:t>
            </w:r>
          </w:p>
          <w:p w14:paraId="1D9771B7" w14:textId="77777777" w:rsidR="009D5714" w:rsidRPr="009D5714" w:rsidRDefault="009D5714" w:rsidP="009D5714">
            <w:pPr>
              <w:keepLines/>
              <w:spacing w:before="40" w:after="40" w:line="189" w:lineRule="auto"/>
              <w:rPr>
                <w:sz w:val="16"/>
                <w:szCs w:val="16"/>
                <w:lang w:eastAsia="en-GB"/>
              </w:rPr>
            </w:pPr>
          </w:p>
          <w:p w14:paraId="1EC09D9E" w14:textId="623FD773" w:rsidR="009D5714" w:rsidRPr="009D5714" w:rsidRDefault="009D5714" w:rsidP="009D5714">
            <w:pPr>
              <w:keepLines/>
              <w:spacing w:before="40" w:after="40" w:line="190" w:lineRule="exact"/>
              <w:jc w:val="left"/>
              <w:rPr>
                <w:b/>
                <w:bCs/>
                <w:sz w:val="16"/>
                <w:szCs w:val="16"/>
              </w:rPr>
            </w:pPr>
            <w:r w:rsidRPr="009D5714">
              <w:rPr>
                <w:sz w:val="16"/>
                <w:szCs w:val="16"/>
                <w:lang w:eastAsia="en-GB"/>
              </w:rPr>
              <w:t>“</w:t>
            </w:r>
            <w:r w:rsidRPr="009D5714">
              <w:rPr>
                <w:i/>
                <w:iCs/>
                <w:sz w:val="16"/>
                <w:szCs w:val="16"/>
                <w:lang w:eastAsia="en-GB"/>
              </w:rPr>
              <w:t xml:space="preserve">Aboveground net biomass growth rate data are provided across three age categories: “&lt; 20 years after disturbance or establishment”, “&gt; 20 years after disturbance or establishment”, and “primary” or mature stands. We use the respective growth rate values and </w:t>
            </w:r>
            <w:proofErr w:type="spellStart"/>
            <w:r w:rsidRPr="009D5714">
              <w:rPr>
                <w:i/>
                <w:iCs/>
                <w:sz w:val="16"/>
                <w:szCs w:val="16"/>
                <w:lang w:eastAsia="en-GB"/>
              </w:rPr>
              <w:t>rmax</w:t>
            </w:r>
            <w:proofErr w:type="spellEnd"/>
            <w:r w:rsidRPr="009D5714">
              <w:rPr>
                <w:i/>
                <w:iCs/>
                <w:sz w:val="16"/>
                <w:szCs w:val="16"/>
                <w:lang w:eastAsia="en-GB"/>
              </w:rPr>
              <w:t xml:space="preserve"> considering the age of the forest cover </w:t>
            </w:r>
            <w:proofErr w:type="gramStart"/>
            <w:r w:rsidRPr="009D5714">
              <w:rPr>
                <w:i/>
                <w:iCs/>
                <w:sz w:val="16"/>
                <w:szCs w:val="16"/>
                <w:lang w:eastAsia="en-GB"/>
              </w:rPr>
              <w:t>in order to</w:t>
            </w:r>
            <w:proofErr w:type="gramEnd"/>
            <w:r w:rsidRPr="009D5714">
              <w:rPr>
                <w:i/>
                <w:iCs/>
                <w:sz w:val="16"/>
                <w:szCs w:val="16"/>
                <w:lang w:eastAsia="en-GB"/>
              </w:rPr>
              <w:t xml:space="preserve"> realistically estimate the biomass availability</w:t>
            </w:r>
            <w:r w:rsidRPr="009D5714">
              <w:rPr>
                <w:sz w:val="16"/>
                <w:szCs w:val="16"/>
                <w:lang w:eastAsia="en-GB"/>
              </w:rPr>
              <w: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E6B7C9B" w14:textId="77777777" w:rsidR="009D5714" w:rsidRDefault="009D5714" w:rsidP="009D5714">
            <w:pPr>
              <w:keepLines/>
              <w:spacing w:before="40" w:after="40" w:line="190" w:lineRule="exact"/>
              <w:jc w:val="center"/>
              <w:rPr>
                <w:b/>
                <w:bCs/>
                <w:sz w:val="16"/>
                <w:szCs w:val="16"/>
              </w:rPr>
            </w:pPr>
          </w:p>
        </w:tc>
      </w:tr>
    </w:tbl>
    <w:p w14:paraId="1BCDB222" w14:textId="77777777" w:rsidR="00DF4F6B" w:rsidRDefault="00DF4F6B">
      <w:pPr>
        <w:spacing w:line="240" w:lineRule="exact"/>
      </w:pPr>
    </w:p>
    <w:sectPr w:rsidR="00DF4F6B">
      <w:headerReference w:type="default" r:id="rId10"/>
      <w:footerReference w:type="even" r:id="rId11"/>
      <w:footerReference w:type="default" r:id="rId12"/>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65F76" w14:textId="77777777" w:rsidR="005F5C36" w:rsidRDefault="005F5C36" w:rsidP="00DF4F6B">
      <w:r>
        <w:separator/>
      </w:r>
    </w:p>
  </w:endnote>
  <w:endnote w:type="continuationSeparator" w:id="0">
    <w:p w14:paraId="7F50CD3F" w14:textId="77777777" w:rsidR="005F5C36" w:rsidRDefault="005F5C36" w:rsidP="00DF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D56D"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7A50B" w14:textId="77777777" w:rsidR="00F37030" w:rsidRDefault="00F37030" w:rsidP="00DF4E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247C"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F18954" w14:textId="77777777" w:rsidR="00F37030" w:rsidRDefault="00F37030" w:rsidP="00DF4E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25AFA" w14:textId="77777777" w:rsidR="005F5C36" w:rsidRDefault="005F5C36" w:rsidP="00DF4F6B">
      <w:r>
        <w:separator/>
      </w:r>
    </w:p>
  </w:footnote>
  <w:footnote w:type="continuationSeparator" w:id="0">
    <w:p w14:paraId="4FE0AA30" w14:textId="77777777" w:rsidR="005F5C36" w:rsidRDefault="005F5C36" w:rsidP="00DF4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77777777" w:rsidR="00F37030" w:rsidRDefault="00F37030">
          <w:pPr>
            <w:pStyle w:val="ISOComments"/>
            <w:spacing w:before="60" w:after="60"/>
            <w:rPr>
              <w:sz w:val="22"/>
            </w:rPr>
          </w:pPr>
          <w:r>
            <w:rPr>
              <w:rStyle w:val="MTEquationSection"/>
              <w:b/>
              <w:bCs/>
              <w:color w:val="auto"/>
              <w:sz w:val="22"/>
              <w:szCs w:val="22"/>
            </w:rPr>
            <w:t>Template for comments</w:t>
          </w:r>
        </w:p>
      </w:tc>
      <w:tc>
        <w:tcPr>
          <w:tcW w:w="2294" w:type="dxa"/>
          <w:tcBorders>
            <w:top w:val="single" w:sz="6" w:space="0" w:color="auto"/>
            <w:left w:val="single" w:sz="6" w:space="0" w:color="auto"/>
            <w:bottom w:val="single" w:sz="6" w:space="0" w:color="auto"/>
            <w:right w:val="single" w:sz="6" w:space="0" w:color="auto"/>
          </w:tcBorders>
        </w:tcPr>
        <w:p w14:paraId="18044243" w14:textId="7AE3585C" w:rsidR="00F37030" w:rsidRPr="00777AC5" w:rsidRDefault="00F37030">
          <w:pPr>
            <w:pStyle w:val="ISOChange"/>
            <w:spacing w:before="60" w:after="60"/>
            <w:rPr>
              <w:b/>
              <w:sz w:val="22"/>
            </w:rPr>
          </w:pPr>
          <w:r w:rsidRPr="00777AC5">
            <w:rPr>
              <w:b/>
              <w:sz w:val="22"/>
            </w:rPr>
            <w:t xml:space="preserve">Date: </w:t>
          </w:r>
          <w:r w:rsidR="008568BC">
            <w:rPr>
              <w:b/>
              <w:sz w:val="22"/>
            </w:rPr>
            <w:t>10/11/2023</w:t>
          </w:r>
        </w:p>
      </w:tc>
      <w:tc>
        <w:tcPr>
          <w:tcW w:w="4521" w:type="dxa"/>
          <w:tcBorders>
            <w:top w:val="single" w:sz="6" w:space="0" w:color="auto"/>
            <w:left w:val="single" w:sz="6" w:space="0" w:color="auto"/>
            <w:bottom w:val="single" w:sz="6" w:space="0" w:color="auto"/>
            <w:right w:val="single" w:sz="6" w:space="0" w:color="auto"/>
          </w:tcBorders>
        </w:tcPr>
        <w:p w14:paraId="766EB125" w14:textId="6FB745D1" w:rsidR="00F37030" w:rsidRDefault="00F37030">
          <w:pPr>
            <w:pStyle w:val="ISOSecretObservations"/>
            <w:spacing w:before="60" w:after="60"/>
            <w:rPr>
              <w:b/>
              <w:bCs/>
              <w:sz w:val="22"/>
              <w:szCs w:val="20"/>
            </w:rPr>
          </w:pPr>
          <w:r>
            <w:rPr>
              <w:b/>
              <w:bCs/>
              <w:sz w:val="22"/>
            </w:rPr>
            <w:t>Document:</w:t>
          </w:r>
          <w:r>
            <w:rPr>
              <w:b/>
              <w:bCs/>
              <w:sz w:val="22"/>
              <w:szCs w:val="20"/>
            </w:rPr>
            <w:t xml:space="preserve">  </w:t>
          </w:r>
          <w:r w:rsidR="008568BC" w:rsidRPr="008568BC">
            <w:rPr>
              <w:b/>
              <w:bCs/>
              <w:sz w:val="22"/>
              <w:szCs w:val="20"/>
            </w:rPr>
            <w:t>CDM-MP92-A07</w:t>
          </w:r>
        </w:p>
      </w:tc>
    </w:tr>
  </w:tbl>
  <w:p w14:paraId="73EC5CC6" w14:textId="77777777" w:rsidR="00F37030" w:rsidRDefault="00F37030">
    <w:pPr>
      <w:pStyle w:val="Header"/>
    </w:pPr>
  </w:p>
  <w:p w14:paraId="4DB01882" w14:textId="77777777" w:rsidR="00F37030" w:rsidRDefault="00F37030">
    <w:pPr>
      <w:pStyle w:val="Header"/>
      <w:rPr>
        <w:sz w:val="2"/>
        <w:szCs w:val="2"/>
      </w:rPr>
    </w:pPr>
  </w:p>
  <w:p w14:paraId="77A90160" w14:textId="77777777" w:rsidR="00F37030" w:rsidRDefault="00F37030">
    <w:pPr>
      <w:pStyle w:val="Header"/>
      <w:spacing w:line="14" w:lineRule="exac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1747"/>
    <w:multiLevelType w:val="multilevel"/>
    <w:tmpl w:val="46360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6221C6"/>
    <w:multiLevelType w:val="hybridMultilevel"/>
    <w:tmpl w:val="A1665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D5D6E"/>
    <w:multiLevelType w:val="multilevel"/>
    <w:tmpl w:val="107CC1D8"/>
    <w:lvl w:ilvl="0">
      <w:start w:val="1"/>
      <w:numFmt w:val="bullet"/>
      <w:lvlText w:val="▪"/>
      <w:lvlJc w:val="left"/>
      <w:pPr>
        <w:ind w:left="1122" w:hanging="360"/>
      </w:pPr>
      <w:rPr>
        <w:rFonts w:ascii="Noto Sans Symbols" w:eastAsia="Noto Sans Symbols" w:hAnsi="Noto Sans Symbols" w:cs="Noto Sans Symbols"/>
      </w:rPr>
    </w:lvl>
    <w:lvl w:ilvl="1">
      <w:start w:val="1"/>
      <w:numFmt w:val="bullet"/>
      <w:lvlText w:val="o"/>
      <w:lvlJc w:val="left"/>
      <w:pPr>
        <w:ind w:left="1842" w:hanging="360"/>
      </w:pPr>
      <w:rPr>
        <w:rFonts w:ascii="Courier New" w:eastAsia="Courier New" w:hAnsi="Courier New" w:cs="Courier New"/>
      </w:rPr>
    </w:lvl>
    <w:lvl w:ilvl="2">
      <w:start w:val="1"/>
      <w:numFmt w:val="bullet"/>
      <w:lvlText w:val="▪"/>
      <w:lvlJc w:val="left"/>
      <w:pPr>
        <w:ind w:left="2562" w:hanging="360"/>
      </w:pPr>
      <w:rPr>
        <w:rFonts w:ascii="Noto Sans Symbols" w:eastAsia="Noto Sans Symbols" w:hAnsi="Noto Sans Symbols" w:cs="Noto Sans Symbols"/>
      </w:rPr>
    </w:lvl>
    <w:lvl w:ilvl="3">
      <w:start w:val="1"/>
      <w:numFmt w:val="bullet"/>
      <w:lvlText w:val="●"/>
      <w:lvlJc w:val="left"/>
      <w:pPr>
        <w:ind w:left="3282" w:hanging="360"/>
      </w:pPr>
      <w:rPr>
        <w:rFonts w:ascii="Noto Sans Symbols" w:eastAsia="Noto Sans Symbols" w:hAnsi="Noto Sans Symbols" w:cs="Noto Sans Symbols"/>
      </w:rPr>
    </w:lvl>
    <w:lvl w:ilvl="4">
      <w:start w:val="1"/>
      <w:numFmt w:val="bullet"/>
      <w:lvlText w:val="o"/>
      <w:lvlJc w:val="left"/>
      <w:pPr>
        <w:ind w:left="4002" w:hanging="360"/>
      </w:pPr>
      <w:rPr>
        <w:rFonts w:ascii="Courier New" w:eastAsia="Courier New" w:hAnsi="Courier New" w:cs="Courier New"/>
      </w:rPr>
    </w:lvl>
    <w:lvl w:ilvl="5">
      <w:start w:val="1"/>
      <w:numFmt w:val="bullet"/>
      <w:lvlText w:val="▪"/>
      <w:lvlJc w:val="left"/>
      <w:pPr>
        <w:ind w:left="4722" w:hanging="360"/>
      </w:pPr>
      <w:rPr>
        <w:rFonts w:ascii="Noto Sans Symbols" w:eastAsia="Noto Sans Symbols" w:hAnsi="Noto Sans Symbols" w:cs="Noto Sans Symbols"/>
      </w:rPr>
    </w:lvl>
    <w:lvl w:ilvl="6">
      <w:start w:val="1"/>
      <w:numFmt w:val="bullet"/>
      <w:lvlText w:val="●"/>
      <w:lvlJc w:val="left"/>
      <w:pPr>
        <w:ind w:left="5442" w:hanging="360"/>
      </w:pPr>
      <w:rPr>
        <w:rFonts w:ascii="Noto Sans Symbols" w:eastAsia="Noto Sans Symbols" w:hAnsi="Noto Sans Symbols" w:cs="Noto Sans Symbols"/>
      </w:rPr>
    </w:lvl>
    <w:lvl w:ilvl="7">
      <w:start w:val="1"/>
      <w:numFmt w:val="bullet"/>
      <w:lvlText w:val="o"/>
      <w:lvlJc w:val="left"/>
      <w:pPr>
        <w:ind w:left="6162" w:hanging="360"/>
      </w:pPr>
      <w:rPr>
        <w:rFonts w:ascii="Courier New" w:eastAsia="Courier New" w:hAnsi="Courier New" w:cs="Courier New"/>
      </w:rPr>
    </w:lvl>
    <w:lvl w:ilvl="8">
      <w:start w:val="1"/>
      <w:numFmt w:val="bullet"/>
      <w:lvlText w:val="▪"/>
      <w:lvlJc w:val="left"/>
      <w:pPr>
        <w:ind w:left="6882" w:hanging="360"/>
      </w:pPr>
      <w:rPr>
        <w:rFonts w:ascii="Noto Sans Symbols" w:eastAsia="Noto Sans Symbols" w:hAnsi="Noto Sans Symbols" w:cs="Noto Sans Symbols"/>
      </w:rPr>
    </w:lvl>
  </w:abstractNum>
  <w:abstractNum w:abstractNumId="3" w15:restartNumberingAfterBreak="0">
    <w:nsid w:val="359A20A7"/>
    <w:multiLevelType w:val="hybridMultilevel"/>
    <w:tmpl w:val="CD2C9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16cid:durableId="301229697">
    <w:abstractNumId w:val="4"/>
  </w:num>
  <w:num w:numId="2" w16cid:durableId="1957713490">
    <w:abstractNumId w:val="2"/>
  </w:num>
  <w:num w:numId="3" w16cid:durableId="1597637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0951777">
    <w:abstractNumId w:val="1"/>
  </w:num>
  <w:num w:numId="5" w16cid:durableId="425267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974ISO" w:val="-1"/>
  </w:docVars>
  <w:rsids>
    <w:rsidRoot w:val="004248BD"/>
    <w:rsid w:val="00044598"/>
    <w:rsid w:val="000553B8"/>
    <w:rsid w:val="000C64E1"/>
    <w:rsid w:val="00127E95"/>
    <w:rsid w:val="001D0F91"/>
    <w:rsid w:val="001D520E"/>
    <w:rsid w:val="001E3876"/>
    <w:rsid w:val="001F3A86"/>
    <w:rsid w:val="00252673"/>
    <w:rsid w:val="002A2DB7"/>
    <w:rsid w:val="002C01E5"/>
    <w:rsid w:val="002F135C"/>
    <w:rsid w:val="00366FD7"/>
    <w:rsid w:val="00405067"/>
    <w:rsid w:val="00405FB3"/>
    <w:rsid w:val="004248BD"/>
    <w:rsid w:val="00430776"/>
    <w:rsid w:val="00450EEA"/>
    <w:rsid w:val="00472C3C"/>
    <w:rsid w:val="005242C9"/>
    <w:rsid w:val="005A256D"/>
    <w:rsid w:val="005B1074"/>
    <w:rsid w:val="005C6EE0"/>
    <w:rsid w:val="005F5C36"/>
    <w:rsid w:val="006B7520"/>
    <w:rsid w:val="006D0849"/>
    <w:rsid w:val="006F32C1"/>
    <w:rsid w:val="00743570"/>
    <w:rsid w:val="00754B35"/>
    <w:rsid w:val="00777AC5"/>
    <w:rsid w:val="007D6248"/>
    <w:rsid w:val="00841D26"/>
    <w:rsid w:val="008568BC"/>
    <w:rsid w:val="00863150"/>
    <w:rsid w:val="008A4004"/>
    <w:rsid w:val="009177A1"/>
    <w:rsid w:val="00981D31"/>
    <w:rsid w:val="009C6079"/>
    <w:rsid w:val="009D0F11"/>
    <w:rsid w:val="009D5714"/>
    <w:rsid w:val="009E2FBD"/>
    <w:rsid w:val="009F61CD"/>
    <w:rsid w:val="00A13B92"/>
    <w:rsid w:val="00AB1062"/>
    <w:rsid w:val="00AB2A13"/>
    <w:rsid w:val="00AB2D27"/>
    <w:rsid w:val="00B3792D"/>
    <w:rsid w:val="00BE477F"/>
    <w:rsid w:val="00C33E85"/>
    <w:rsid w:val="00C408D1"/>
    <w:rsid w:val="00C630BD"/>
    <w:rsid w:val="00C65A0C"/>
    <w:rsid w:val="00CC0EB7"/>
    <w:rsid w:val="00D131BD"/>
    <w:rsid w:val="00D36C4F"/>
    <w:rsid w:val="00D6268F"/>
    <w:rsid w:val="00D90EC7"/>
    <w:rsid w:val="00DD628A"/>
    <w:rsid w:val="00DF4E03"/>
    <w:rsid w:val="00DF4F6B"/>
    <w:rsid w:val="00E17C40"/>
    <w:rsid w:val="00E34C4D"/>
    <w:rsid w:val="00E60C4A"/>
    <w:rsid w:val="00EE5FD1"/>
    <w:rsid w:val="00F27817"/>
    <w:rsid w:val="00F37030"/>
    <w:rsid w:val="00F650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1514B8A1"/>
  <w15:chartTrackingRefBased/>
  <w15:docId w15:val="{EED8BE88-5E43-4909-9CE6-65EDB482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628A"/>
    <w:pPr>
      <w:jc w:val="both"/>
    </w:pPr>
    <w:rPr>
      <w:rFonts w:ascii="Arial" w:hAnsi="Arial" w:cs="Arial"/>
      <w:sz w:val="22"/>
      <w:szCs w:val="22"/>
      <w:lang w:val="en-GB" w:eastAsia="en-US"/>
    </w:rPr>
  </w:style>
  <w:style w:type="paragraph" w:styleId="Heading1">
    <w:name w:val="heading 1"/>
    <w:basedOn w:val="Normal"/>
    <w:next w:val="Normal"/>
    <w:qFormat/>
    <w:pPr>
      <w:keepNext/>
      <w:spacing w:before="120" w:after="200"/>
      <w:outlineLvl w:val="0"/>
    </w:pPr>
    <w:rPr>
      <w:b/>
      <w:bCs/>
      <w:sz w:val="24"/>
      <w:szCs w:val="24"/>
    </w:rPr>
  </w:style>
  <w:style w:type="paragraph" w:styleId="Heading2">
    <w:name w:val="heading 2"/>
    <w:basedOn w:val="Heading1"/>
    <w:next w:val="Normal"/>
    <w:qFormat/>
    <w:pPr>
      <w:spacing w:before="0"/>
      <w:ind w:left="567" w:hanging="567"/>
      <w:outlineLvl w:val="1"/>
    </w:pPr>
    <w:rPr>
      <w:sz w:val="22"/>
      <w:szCs w:val="22"/>
    </w:rPr>
  </w:style>
  <w:style w:type="paragraph" w:styleId="Heading3">
    <w:name w:val="heading 3"/>
    <w:basedOn w:val="Heading2"/>
    <w:next w:val="Normal"/>
    <w:qFormat/>
    <w:pPr>
      <w:outlineLvl w:val="2"/>
    </w:pPr>
    <w:rPr>
      <w:b w:val="0"/>
      <w:bCs w:val="0"/>
    </w:rPr>
  </w:style>
  <w:style w:type="paragraph" w:styleId="Heading4">
    <w:name w:val="heading 4"/>
    <w:basedOn w:val="Heading3"/>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style>
  <w:style w:type="paragraph" w:styleId="Footer">
    <w:name w:val="footer"/>
    <w:basedOn w:val="Normal"/>
    <w:pPr>
      <w:tabs>
        <w:tab w:val="center" w:pos="4820"/>
        <w:tab w:val="right" w:pos="9639"/>
      </w:tabs>
    </w:pPr>
  </w:style>
  <w:style w:type="paragraph" w:customStyle="1" w:styleId="ISOMB">
    <w:name w:val="ISO_MB"/>
    <w:basedOn w:val="Normal"/>
    <w:pPr>
      <w:spacing w:before="210" w:line="210" w:lineRule="exact"/>
      <w:jc w:val="left"/>
    </w:pPr>
    <w:rPr>
      <w:sz w:val="18"/>
      <w:szCs w:val="18"/>
    </w:rPr>
  </w:style>
  <w:style w:type="paragraph" w:customStyle="1" w:styleId="ISOClause">
    <w:name w:val="ISO_Clause"/>
    <w:basedOn w:val="Normal"/>
    <w:pPr>
      <w:spacing w:before="210" w:line="210" w:lineRule="exact"/>
      <w:jc w:val="left"/>
    </w:pPr>
    <w:rPr>
      <w:sz w:val="18"/>
      <w:szCs w:val="18"/>
    </w:rPr>
  </w:style>
  <w:style w:type="paragraph" w:customStyle="1" w:styleId="ISOParagraph">
    <w:name w:val="ISO_Paragraph"/>
    <w:basedOn w:val="Normal"/>
    <w:pPr>
      <w:spacing w:before="210" w:line="210" w:lineRule="exact"/>
      <w:jc w:val="left"/>
    </w:pPr>
    <w:rPr>
      <w:sz w:val="18"/>
      <w:szCs w:val="18"/>
    </w:rPr>
  </w:style>
  <w:style w:type="character" w:styleId="PageNumber">
    <w:name w:val="page number"/>
    <w:basedOn w:val="DefaultParagraphFont"/>
    <w:rPr>
      <w:sz w:val="20"/>
      <w:szCs w:val="20"/>
    </w:rPr>
  </w:style>
  <w:style w:type="paragraph" w:customStyle="1" w:styleId="ISOCommType">
    <w:name w:val="ISO_Comm_Type"/>
    <w:basedOn w:val="Normal"/>
    <w:pPr>
      <w:spacing w:before="210" w:line="210" w:lineRule="exact"/>
      <w:jc w:val="left"/>
    </w:pPr>
    <w:rPr>
      <w:sz w:val="18"/>
      <w:szCs w:val="18"/>
    </w:rPr>
  </w:style>
  <w:style w:type="paragraph" w:customStyle="1" w:styleId="ISOComments">
    <w:name w:val="ISO_Comments"/>
    <w:basedOn w:val="Normal"/>
    <w:pPr>
      <w:spacing w:before="210" w:line="210" w:lineRule="exact"/>
      <w:jc w:val="left"/>
    </w:pPr>
    <w:rPr>
      <w:sz w:val="18"/>
      <w:szCs w:val="18"/>
    </w:rPr>
  </w:style>
  <w:style w:type="paragraph" w:customStyle="1" w:styleId="ISOChange">
    <w:name w:val="ISO_Change"/>
    <w:basedOn w:val="Normal"/>
    <w:pPr>
      <w:spacing w:before="210" w:line="210" w:lineRule="exact"/>
      <w:jc w:val="left"/>
    </w:pPr>
    <w:rPr>
      <w:sz w:val="18"/>
      <w:szCs w:val="18"/>
    </w:rPr>
  </w:style>
  <w:style w:type="paragraph" w:customStyle="1" w:styleId="ISOSecretObservations">
    <w:name w:val="ISO_Secret_Observations"/>
    <w:basedOn w:val="Normal"/>
    <w:pPr>
      <w:spacing w:before="210" w:line="210" w:lineRule="exact"/>
      <w:jc w:val="left"/>
    </w:pPr>
    <w:rPr>
      <w:sz w:val="18"/>
      <w:szCs w:val="18"/>
    </w:rPr>
  </w:style>
  <w:style w:type="character" w:customStyle="1" w:styleId="MTEquationSection">
    <w:name w:val="MTEquationSection"/>
    <w:basedOn w:val="DefaultParagraphFont"/>
    <w:rPr>
      <w:color w:val="FF0000"/>
      <w:sz w:val="16"/>
      <w:szCs w:val="16"/>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customStyle="1" w:styleId="mtequationsection0">
    <w:name w:val="mtequationsection"/>
    <w:basedOn w:val="DefaultParagraphFont"/>
  </w:style>
  <w:style w:type="paragraph" w:customStyle="1" w:styleId="RegHead2">
    <w:name w:val="RegHead2"/>
    <w:basedOn w:val="Normal"/>
    <w:next w:val="Normal"/>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Normal"/>
    <w:next w:val="Normal"/>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Normal"/>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Normal"/>
    <w:rsid w:val="005B1074"/>
    <w:pPr>
      <w:keepNext/>
      <w:numPr>
        <w:numId w:val="1"/>
      </w:numPr>
      <w:spacing w:before="180"/>
      <w:jc w:val="center"/>
    </w:pPr>
    <w:rPr>
      <w:rFonts w:ascii="Times New Roman Bold" w:hAnsi="Times New Roman Bold" w:cs="Times New Roman Bold"/>
      <w:b/>
    </w:rPr>
  </w:style>
  <w:style w:type="paragraph" w:styleId="ListParagraph">
    <w:name w:val="List Paragraph"/>
    <w:basedOn w:val="Normal"/>
    <w:uiPriority w:val="34"/>
    <w:qFormat/>
    <w:rsid w:val="009D5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48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FCCC Word Document" ma:contentTypeID="0x010100AC1080CB3F0A334A8C0952354BCA8564007BC3E68EB416CC4AAA2F6028BACC239E" ma:contentTypeVersion="1" ma:contentTypeDescription="Creates a new UNFCCC Document" ma:contentTypeScope="" ma:versionID="7f3a503a110ea00c97dd81f74b72a3c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6BB2CA-589C-4437-A969-1BF9BFF8EF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1D436A-653D-41CD-8080-BB936120E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99CDAC-AD2E-41D4-9D74-51CAC11DFC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6526</TotalTime>
  <Pages>3</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CommentsOn</vt:lpstr>
    </vt:vector>
  </TitlesOfParts>
  <Company>ISO</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dow</dc:creator>
  <cp:keywords/>
  <dc:description>FORM (ISO)</dc:description>
  <cp:lastModifiedBy>Erik Wurster</cp:lastModifiedBy>
  <cp:revision>13</cp:revision>
  <cp:lastPrinted>2001-10-25T12:04:00Z</cp:lastPrinted>
  <dcterms:created xsi:type="dcterms:W3CDTF">2023-10-26T19:26:00Z</dcterms:created>
  <dcterms:modified xsi:type="dcterms:W3CDTF">2023-11-09T19:56:00Z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0x010100AC1080CB3F0A334A8C0952354BCA8564007BC3E68EB416CC4AAA2F6028BACC239E</vt:lpwstr>
  </property>
</Properties>
</file>