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E4AFD" w14:textId="77777777" w:rsidR="005B1074" w:rsidRDefault="00777AC5" w:rsidP="005B1074">
      <w:pPr>
        <w:pStyle w:val="StyleRegHead111pt"/>
        <w:numPr>
          <w:ilvl w:val="0"/>
          <w:numId w:val="0"/>
        </w:numPr>
      </w:pPr>
      <w:r>
        <w:t>TABLE</w:t>
      </w:r>
      <w:r w:rsidR="005B1074">
        <w:t xml:space="preserve"> FOR COMMENTS</w:t>
      </w:r>
    </w:p>
    <w:p w14:paraId="509F9590" w14:textId="4CCEAAB2" w:rsidR="00E60C4A" w:rsidRDefault="00E60C4A" w:rsidP="00E60C4A">
      <w:pPr>
        <w:pStyle w:val="StyleRegHead111pt"/>
        <w:numPr>
          <w:ilvl w:val="0"/>
          <w:numId w:val="0"/>
        </w:numPr>
        <w:jc w:val="left"/>
      </w:pPr>
      <w:r>
        <w:t xml:space="preserve">Name of submitter: </w:t>
      </w:r>
      <w:r w:rsidR="00B708B1">
        <w:t>Jason Steele</w:t>
      </w:r>
    </w:p>
    <w:p w14:paraId="1539A45C" w14:textId="0FCF8F3C" w:rsidR="00E60C4A" w:rsidRDefault="00E60C4A" w:rsidP="00E60C4A">
      <w:pPr>
        <w:pStyle w:val="StyleRegHead111pt"/>
        <w:numPr>
          <w:ilvl w:val="0"/>
          <w:numId w:val="0"/>
        </w:numPr>
        <w:jc w:val="left"/>
      </w:pPr>
      <w:r>
        <w:t>Affiliated organization of the submitter</w:t>
      </w:r>
      <w:r w:rsidR="006D0849">
        <w:t xml:space="preserve"> (if any)</w:t>
      </w:r>
      <w:r>
        <w:t xml:space="preserve">: </w:t>
      </w:r>
      <w:r w:rsidR="00DE29BB">
        <w:t>C-Quest Capital LLC</w:t>
      </w:r>
    </w:p>
    <w:p w14:paraId="5F63183D" w14:textId="778F0844" w:rsidR="00E60C4A" w:rsidRPr="007F243D" w:rsidRDefault="00E60C4A" w:rsidP="00E60C4A">
      <w:pPr>
        <w:pStyle w:val="StyleRegHead111pt"/>
        <w:numPr>
          <w:ilvl w:val="0"/>
          <w:numId w:val="0"/>
        </w:numPr>
        <w:jc w:val="left"/>
      </w:pPr>
      <w:r>
        <w:t xml:space="preserve">Contact email of submitter: </w:t>
      </w:r>
      <w:r w:rsidR="00722806">
        <w:t>cqc-operations</w:t>
      </w:r>
      <w:r w:rsidR="00DE29BB">
        <w:t>@cquestcapital.com</w:t>
      </w:r>
    </w:p>
    <w:p w14:paraId="77A5CC8D" w14:textId="77777777" w:rsidR="005B1074" w:rsidRPr="00035035" w:rsidRDefault="005B1074" w:rsidP="005B1074"/>
    <w:p w14:paraId="2EA528BF" w14:textId="77777777" w:rsidR="00DF4F6B" w:rsidRDefault="00DF4F6B">
      <w:pPr>
        <w:spacing w:line="240" w:lineRule="exact"/>
      </w:pPr>
    </w:p>
    <w:tbl>
      <w:tblPr>
        <w:tblW w:w="153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49"/>
        <w:gridCol w:w="1306"/>
        <w:gridCol w:w="966"/>
        <w:gridCol w:w="966"/>
        <w:gridCol w:w="938"/>
        <w:gridCol w:w="4444"/>
        <w:gridCol w:w="3971"/>
        <w:gridCol w:w="2389"/>
      </w:tblGrid>
      <w:tr w:rsidR="00863150" w:rsidRPr="004E2C40" w14:paraId="44974AB3" w14:textId="77777777" w:rsidTr="007D7E0D">
        <w:trPr>
          <w:cantSplit/>
          <w:trHeight w:val="300"/>
          <w:tblHeader/>
          <w:jc w:val="center"/>
        </w:trPr>
        <w:tc>
          <w:tcPr>
            <w:tcW w:w="349" w:type="dxa"/>
            <w:tcBorders>
              <w:top w:val="single" w:sz="6" w:space="0" w:color="auto"/>
              <w:left w:val="single" w:sz="6" w:space="0" w:color="auto"/>
              <w:bottom w:val="single" w:sz="6" w:space="0" w:color="auto"/>
              <w:right w:val="single" w:sz="6" w:space="0" w:color="auto"/>
            </w:tcBorders>
          </w:tcPr>
          <w:p w14:paraId="1118F40B" w14:textId="77777777" w:rsidR="00863150" w:rsidRPr="004E2C40" w:rsidRDefault="00863150">
            <w:pPr>
              <w:keepLines/>
              <w:spacing w:before="40" w:after="40" w:line="180" w:lineRule="exact"/>
              <w:jc w:val="center"/>
              <w:rPr>
                <w:b/>
                <w:bCs/>
                <w:sz w:val="20"/>
                <w:szCs w:val="20"/>
              </w:rPr>
            </w:pPr>
            <w:r w:rsidRPr="004E2C40">
              <w:rPr>
                <w:b/>
                <w:bCs/>
                <w:sz w:val="20"/>
                <w:szCs w:val="20"/>
              </w:rPr>
              <w:t>0</w:t>
            </w:r>
          </w:p>
        </w:tc>
        <w:tc>
          <w:tcPr>
            <w:tcW w:w="2272" w:type="dxa"/>
            <w:gridSpan w:val="2"/>
            <w:tcBorders>
              <w:top w:val="single" w:sz="6" w:space="0" w:color="auto"/>
              <w:left w:val="single" w:sz="6" w:space="0" w:color="auto"/>
              <w:bottom w:val="single" w:sz="6" w:space="0" w:color="auto"/>
              <w:right w:val="single" w:sz="6" w:space="0" w:color="auto"/>
            </w:tcBorders>
          </w:tcPr>
          <w:p w14:paraId="0556F682" w14:textId="77777777" w:rsidR="00863150" w:rsidRPr="004E2C40" w:rsidRDefault="00863150">
            <w:pPr>
              <w:keepLines/>
              <w:spacing w:before="40" w:after="40" w:line="180" w:lineRule="exact"/>
              <w:jc w:val="center"/>
              <w:rPr>
                <w:b/>
                <w:bCs/>
                <w:sz w:val="20"/>
                <w:szCs w:val="20"/>
              </w:rPr>
            </w:pPr>
            <w:r w:rsidRPr="004E2C40">
              <w:rPr>
                <w:b/>
                <w:bCs/>
                <w:sz w:val="20"/>
                <w:szCs w:val="20"/>
              </w:rPr>
              <w:t>1</w:t>
            </w:r>
          </w:p>
        </w:tc>
        <w:tc>
          <w:tcPr>
            <w:tcW w:w="966" w:type="dxa"/>
            <w:tcBorders>
              <w:top w:val="single" w:sz="6" w:space="0" w:color="auto"/>
              <w:left w:val="single" w:sz="6" w:space="0" w:color="auto"/>
              <w:bottom w:val="single" w:sz="6" w:space="0" w:color="auto"/>
              <w:right w:val="single" w:sz="6" w:space="0" w:color="auto"/>
            </w:tcBorders>
          </w:tcPr>
          <w:p w14:paraId="743B88A7" w14:textId="77777777" w:rsidR="00863150" w:rsidRPr="004E2C40" w:rsidRDefault="00863150">
            <w:pPr>
              <w:keepLines/>
              <w:spacing w:before="40" w:after="40" w:line="180" w:lineRule="exact"/>
              <w:jc w:val="center"/>
              <w:rPr>
                <w:b/>
                <w:bCs/>
                <w:sz w:val="20"/>
                <w:szCs w:val="20"/>
              </w:rPr>
            </w:pPr>
            <w:r w:rsidRPr="004E2C40">
              <w:rPr>
                <w:b/>
                <w:bCs/>
                <w:sz w:val="20"/>
                <w:szCs w:val="20"/>
              </w:rPr>
              <w:t>2</w:t>
            </w:r>
          </w:p>
        </w:tc>
        <w:tc>
          <w:tcPr>
            <w:tcW w:w="938" w:type="dxa"/>
            <w:tcBorders>
              <w:top w:val="single" w:sz="6" w:space="0" w:color="auto"/>
              <w:left w:val="single" w:sz="6" w:space="0" w:color="auto"/>
              <w:bottom w:val="single" w:sz="6" w:space="0" w:color="auto"/>
              <w:right w:val="single" w:sz="6" w:space="0" w:color="auto"/>
            </w:tcBorders>
          </w:tcPr>
          <w:p w14:paraId="2AF66E0C" w14:textId="77777777" w:rsidR="00863150" w:rsidRPr="004E2C40" w:rsidRDefault="00863150">
            <w:pPr>
              <w:keepLines/>
              <w:spacing w:before="40" w:after="40" w:line="180" w:lineRule="exact"/>
              <w:jc w:val="center"/>
              <w:rPr>
                <w:b/>
                <w:bCs/>
                <w:sz w:val="20"/>
                <w:szCs w:val="20"/>
              </w:rPr>
            </w:pPr>
            <w:r w:rsidRPr="004E2C40">
              <w:rPr>
                <w:b/>
                <w:bCs/>
                <w:sz w:val="20"/>
                <w:szCs w:val="20"/>
              </w:rPr>
              <w:t>3</w:t>
            </w:r>
          </w:p>
        </w:tc>
        <w:tc>
          <w:tcPr>
            <w:tcW w:w="4444" w:type="dxa"/>
            <w:tcBorders>
              <w:top w:val="single" w:sz="6" w:space="0" w:color="auto"/>
              <w:left w:val="single" w:sz="6" w:space="0" w:color="auto"/>
              <w:bottom w:val="single" w:sz="6" w:space="0" w:color="auto"/>
              <w:right w:val="single" w:sz="6" w:space="0" w:color="auto"/>
            </w:tcBorders>
          </w:tcPr>
          <w:p w14:paraId="4AE8941B" w14:textId="77777777" w:rsidR="00863150" w:rsidRPr="004E2C40" w:rsidRDefault="00863150">
            <w:pPr>
              <w:keepLines/>
              <w:spacing w:before="40" w:after="40" w:line="180" w:lineRule="exact"/>
              <w:jc w:val="center"/>
              <w:rPr>
                <w:b/>
                <w:bCs/>
                <w:sz w:val="20"/>
                <w:szCs w:val="20"/>
              </w:rPr>
            </w:pPr>
            <w:r w:rsidRPr="004E2C40">
              <w:rPr>
                <w:b/>
                <w:bCs/>
                <w:sz w:val="20"/>
                <w:szCs w:val="20"/>
              </w:rPr>
              <w:t>4</w:t>
            </w:r>
          </w:p>
        </w:tc>
        <w:tc>
          <w:tcPr>
            <w:tcW w:w="3971" w:type="dxa"/>
            <w:tcBorders>
              <w:top w:val="single" w:sz="6" w:space="0" w:color="auto"/>
              <w:left w:val="single" w:sz="6" w:space="0" w:color="auto"/>
              <w:bottom w:val="single" w:sz="6" w:space="0" w:color="auto"/>
              <w:right w:val="single" w:sz="6" w:space="0" w:color="auto"/>
            </w:tcBorders>
          </w:tcPr>
          <w:p w14:paraId="5786B02A" w14:textId="77777777" w:rsidR="00863150" w:rsidRPr="004E2C40" w:rsidRDefault="00863150">
            <w:pPr>
              <w:keepLines/>
              <w:spacing w:before="40" w:after="40" w:line="180" w:lineRule="exact"/>
              <w:jc w:val="center"/>
              <w:rPr>
                <w:b/>
                <w:bCs/>
                <w:sz w:val="20"/>
                <w:szCs w:val="20"/>
              </w:rPr>
            </w:pPr>
            <w:r w:rsidRPr="004E2C40">
              <w:rPr>
                <w:b/>
                <w:bCs/>
                <w:sz w:val="20"/>
                <w:szCs w:val="20"/>
              </w:rPr>
              <w:t>5</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65212BB9" w14:textId="77777777" w:rsidR="00863150" w:rsidRPr="004E2C40" w:rsidRDefault="00863150">
            <w:pPr>
              <w:keepLines/>
              <w:spacing w:before="40" w:after="40" w:line="180" w:lineRule="exact"/>
              <w:jc w:val="center"/>
              <w:rPr>
                <w:b/>
                <w:bCs/>
                <w:sz w:val="20"/>
                <w:szCs w:val="20"/>
              </w:rPr>
            </w:pPr>
            <w:r w:rsidRPr="004E2C40">
              <w:rPr>
                <w:b/>
                <w:bCs/>
                <w:sz w:val="20"/>
                <w:szCs w:val="20"/>
              </w:rPr>
              <w:t>6</w:t>
            </w:r>
          </w:p>
        </w:tc>
      </w:tr>
      <w:tr w:rsidR="00863150" w:rsidRPr="004E2C40" w14:paraId="48486F42" w14:textId="77777777" w:rsidTr="007D7E0D">
        <w:trPr>
          <w:cantSplit/>
          <w:trHeight w:val="300"/>
          <w:tblHeader/>
          <w:jc w:val="center"/>
        </w:trPr>
        <w:tc>
          <w:tcPr>
            <w:tcW w:w="349" w:type="dxa"/>
            <w:tcBorders>
              <w:top w:val="single" w:sz="6" w:space="0" w:color="auto"/>
              <w:left w:val="single" w:sz="6" w:space="0" w:color="auto"/>
              <w:bottom w:val="single" w:sz="6" w:space="0" w:color="auto"/>
              <w:right w:val="single" w:sz="6" w:space="0" w:color="auto"/>
            </w:tcBorders>
            <w:shd w:val="clear" w:color="auto" w:fill="E6E6E6"/>
          </w:tcPr>
          <w:p w14:paraId="7B197D7B" w14:textId="77777777" w:rsidR="00863150" w:rsidRPr="004E2C40" w:rsidRDefault="00863150">
            <w:pPr>
              <w:keepLines/>
              <w:spacing w:before="40" w:after="40" w:line="190" w:lineRule="exact"/>
              <w:jc w:val="center"/>
              <w:rPr>
                <w:b/>
                <w:bCs/>
                <w:sz w:val="20"/>
                <w:szCs w:val="20"/>
              </w:rPr>
            </w:pPr>
            <w:r w:rsidRPr="004E2C40">
              <w:rPr>
                <w:b/>
                <w:bCs/>
                <w:sz w:val="20"/>
                <w:szCs w:val="20"/>
              </w:rPr>
              <w:t>#</w:t>
            </w:r>
          </w:p>
          <w:p w14:paraId="1BEFCA54" w14:textId="77777777" w:rsidR="00863150" w:rsidRPr="004E2C40" w:rsidRDefault="00863150" w:rsidP="005242C9">
            <w:pPr>
              <w:keepLines/>
              <w:spacing w:before="40" w:after="40" w:line="190" w:lineRule="exact"/>
              <w:rPr>
                <w:b/>
                <w:bCs/>
                <w:sz w:val="20"/>
                <w:szCs w:val="20"/>
              </w:rPr>
            </w:pPr>
          </w:p>
        </w:tc>
        <w:tc>
          <w:tcPr>
            <w:tcW w:w="2272" w:type="dxa"/>
            <w:gridSpan w:val="2"/>
            <w:tcBorders>
              <w:top w:val="single" w:sz="6" w:space="0" w:color="auto"/>
              <w:left w:val="single" w:sz="6" w:space="0" w:color="auto"/>
              <w:bottom w:val="single" w:sz="6" w:space="0" w:color="auto"/>
              <w:right w:val="single" w:sz="6" w:space="0" w:color="auto"/>
            </w:tcBorders>
            <w:shd w:val="clear" w:color="auto" w:fill="E6E6E6"/>
          </w:tcPr>
          <w:p w14:paraId="5931A8B1" w14:textId="77777777" w:rsidR="00863150" w:rsidRPr="004E2C40" w:rsidRDefault="00863150">
            <w:pPr>
              <w:keepLines/>
              <w:spacing w:before="40" w:after="40" w:line="190" w:lineRule="exact"/>
              <w:jc w:val="center"/>
              <w:rPr>
                <w:b/>
                <w:bCs/>
                <w:sz w:val="20"/>
                <w:szCs w:val="20"/>
              </w:rPr>
            </w:pPr>
            <w:r w:rsidRPr="004E2C40">
              <w:rPr>
                <w:b/>
                <w:bCs/>
                <w:sz w:val="20"/>
                <w:szCs w:val="20"/>
              </w:rPr>
              <w:t>Para No./</w:t>
            </w:r>
            <w:r w:rsidRPr="004E2C40">
              <w:rPr>
                <w:b/>
                <w:bCs/>
                <w:sz w:val="20"/>
                <w:szCs w:val="20"/>
              </w:rPr>
              <w:br/>
              <w:t>Annex / Figure / Table</w:t>
            </w:r>
          </w:p>
        </w:tc>
        <w:tc>
          <w:tcPr>
            <w:tcW w:w="966" w:type="dxa"/>
            <w:tcBorders>
              <w:top w:val="single" w:sz="6" w:space="0" w:color="auto"/>
              <w:left w:val="single" w:sz="6" w:space="0" w:color="auto"/>
              <w:bottom w:val="single" w:sz="6" w:space="0" w:color="auto"/>
              <w:right w:val="single" w:sz="6" w:space="0" w:color="auto"/>
            </w:tcBorders>
            <w:shd w:val="clear" w:color="auto" w:fill="E6E6E6"/>
          </w:tcPr>
          <w:p w14:paraId="612186A2" w14:textId="77777777" w:rsidR="00863150" w:rsidRPr="004E2C40" w:rsidRDefault="00863150">
            <w:pPr>
              <w:keepLines/>
              <w:spacing w:before="40" w:after="40" w:line="190" w:lineRule="exact"/>
              <w:jc w:val="center"/>
              <w:rPr>
                <w:b/>
                <w:bCs/>
                <w:sz w:val="20"/>
                <w:szCs w:val="20"/>
              </w:rPr>
            </w:pPr>
            <w:r w:rsidRPr="004E2C40">
              <w:rPr>
                <w:b/>
                <w:bCs/>
                <w:sz w:val="20"/>
                <w:szCs w:val="20"/>
              </w:rPr>
              <w:t>Line Number</w:t>
            </w:r>
          </w:p>
        </w:tc>
        <w:tc>
          <w:tcPr>
            <w:tcW w:w="938" w:type="dxa"/>
            <w:tcBorders>
              <w:top w:val="single" w:sz="6" w:space="0" w:color="auto"/>
              <w:left w:val="single" w:sz="6" w:space="0" w:color="auto"/>
              <w:bottom w:val="single" w:sz="6" w:space="0" w:color="auto"/>
              <w:right w:val="single" w:sz="6" w:space="0" w:color="auto"/>
            </w:tcBorders>
            <w:shd w:val="clear" w:color="auto" w:fill="E6E6E6"/>
          </w:tcPr>
          <w:p w14:paraId="5E36EA1D" w14:textId="77777777" w:rsidR="00863150" w:rsidRPr="004E2C40" w:rsidRDefault="00863150">
            <w:pPr>
              <w:keepLines/>
              <w:spacing w:before="40" w:after="40" w:line="190" w:lineRule="exact"/>
              <w:jc w:val="center"/>
              <w:rPr>
                <w:b/>
                <w:bCs/>
                <w:sz w:val="20"/>
                <w:szCs w:val="20"/>
              </w:rPr>
            </w:pPr>
            <w:r w:rsidRPr="004E2C40">
              <w:rPr>
                <w:b/>
                <w:bCs/>
                <w:sz w:val="20"/>
                <w:szCs w:val="20"/>
              </w:rPr>
              <w:t>Type of comment</w:t>
            </w:r>
          </w:p>
          <w:p w14:paraId="7BC03EA3" w14:textId="77777777" w:rsidR="00863150" w:rsidRPr="004E2C40" w:rsidRDefault="00863150">
            <w:pPr>
              <w:keepLines/>
              <w:spacing w:before="40" w:after="40" w:line="190" w:lineRule="exact"/>
              <w:jc w:val="center"/>
              <w:rPr>
                <w:rStyle w:val="PageNumber"/>
              </w:rPr>
            </w:pPr>
            <w:proofErr w:type="spellStart"/>
            <w:r w:rsidRPr="004E2C40">
              <w:rPr>
                <w:rStyle w:val="PageNumber"/>
                <w:b/>
                <w:bCs/>
              </w:rPr>
              <w:t>ge</w:t>
            </w:r>
            <w:proofErr w:type="spellEnd"/>
            <w:r w:rsidRPr="004E2C40">
              <w:rPr>
                <w:rStyle w:val="PageNumber"/>
              </w:rPr>
              <w:t xml:space="preserve"> = general</w:t>
            </w:r>
          </w:p>
          <w:p w14:paraId="192FE6D5" w14:textId="77777777" w:rsidR="00863150" w:rsidRPr="004E2C40" w:rsidRDefault="00863150">
            <w:pPr>
              <w:keepLines/>
              <w:spacing w:before="40" w:after="40" w:line="190" w:lineRule="exact"/>
              <w:jc w:val="center"/>
              <w:rPr>
                <w:b/>
                <w:bCs/>
                <w:sz w:val="20"/>
                <w:szCs w:val="20"/>
              </w:rPr>
            </w:pPr>
            <w:proofErr w:type="spellStart"/>
            <w:r w:rsidRPr="004E2C40">
              <w:rPr>
                <w:rStyle w:val="PageNumber"/>
                <w:b/>
                <w:bCs/>
              </w:rPr>
              <w:t>te</w:t>
            </w:r>
            <w:proofErr w:type="spellEnd"/>
            <w:r w:rsidRPr="004E2C40">
              <w:rPr>
                <w:rStyle w:val="PageNumber"/>
              </w:rPr>
              <w:t xml:space="preserve"> = technical </w:t>
            </w:r>
            <w:r w:rsidRPr="004E2C40">
              <w:rPr>
                <w:rStyle w:val="PageNumber"/>
              </w:rPr>
              <w:tab/>
            </w:r>
            <w:r w:rsidRPr="004E2C40">
              <w:rPr>
                <w:rStyle w:val="PageNumber"/>
                <w:b/>
                <w:bCs/>
              </w:rPr>
              <w:t>ed</w:t>
            </w:r>
            <w:r w:rsidRPr="004E2C40">
              <w:rPr>
                <w:rStyle w:val="PageNumber"/>
              </w:rPr>
              <w:t xml:space="preserve"> = editorial </w:t>
            </w:r>
          </w:p>
        </w:tc>
        <w:tc>
          <w:tcPr>
            <w:tcW w:w="4444" w:type="dxa"/>
            <w:tcBorders>
              <w:top w:val="single" w:sz="6" w:space="0" w:color="auto"/>
              <w:left w:val="single" w:sz="6" w:space="0" w:color="auto"/>
              <w:bottom w:val="single" w:sz="6" w:space="0" w:color="auto"/>
              <w:right w:val="single" w:sz="6" w:space="0" w:color="auto"/>
            </w:tcBorders>
            <w:shd w:val="clear" w:color="auto" w:fill="E6E6E6"/>
          </w:tcPr>
          <w:p w14:paraId="5DB73758" w14:textId="77777777" w:rsidR="00863150" w:rsidRPr="004E2C40" w:rsidRDefault="00863150">
            <w:pPr>
              <w:keepLines/>
              <w:spacing w:before="40" w:after="40" w:line="190" w:lineRule="exact"/>
              <w:jc w:val="center"/>
              <w:rPr>
                <w:b/>
                <w:bCs/>
                <w:sz w:val="20"/>
                <w:szCs w:val="20"/>
              </w:rPr>
            </w:pPr>
            <w:r w:rsidRPr="004E2C40">
              <w:rPr>
                <w:b/>
                <w:bCs/>
                <w:sz w:val="20"/>
                <w:szCs w:val="20"/>
              </w:rPr>
              <w:t xml:space="preserve">Comment </w:t>
            </w:r>
          </w:p>
          <w:p w14:paraId="58D30D20" w14:textId="451C5EDE" w:rsidR="00863150" w:rsidRPr="004E2C40" w:rsidRDefault="00863150">
            <w:pPr>
              <w:keepLines/>
              <w:spacing w:before="40" w:after="40" w:line="190" w:lineRule="exact"/>
              <w:jc w:val="center"/>
              <w:rPr>
                <w:b/>
                <w:bCs/>
                <w:sz w:val="20"/>
                <w:szCs w:val="20"/>
              </w:rPr>
            </w:pPr>
            <w:r w:rsidRPr="004E2C40">
              <w:rPr>
                <w:b/>
                <w:bCs/>
                <w:sz w:val="20"/>
                <w:szCs w:val="20"/>
              </w:rPr>
              <w:t>(</w:t>
            </w:r>
            <w:proofErr w:type="gramStart"/>
            <w:r w:rsidRPr="004E2C40">
              <w:rPr>
                <w:b/>
                <w:bCs/>
                <w:sz w:val="20"/>
                <w:szCs w:val="20"/>
              </w:rPr>
              <w:t>including</w:t>
            </w:r>
            <w:proofErr w:type="gramEnd"/>
            <w:r w:rsidRPr="004E2C40">
              <w:rPr>
                <w:b/>
                <w:bCs/>
                <w:sz w:val="20"/>
                <w:szCs w:val="20"/>
              </w:rPr>
              <w:t xml:space="preserve"> justification for change)</w:t>
            </w:r>
          </w:p>
        </w:tc>
        <w:tc>
          <w:tcPr>
            <w:tcW w:w="3971" w:type="dxa"/>
            <w:tcBorders>
              <w:top w:val="single" w:sz="6" w:space="0" w:color="auto"/>
              <w:left w:val="single" w:sz="6" w:space="0" w:color="auto"/>
              <w:bottom w:val="single" w:sz="6" w:space="0" w:color="auto"/>
              <w:right w:val="single" w:sz="6" w:space="0" w:color="auto"/>
            </w:tcBorders>
            <w:shd w:val="clear" w:color="auto" w:fill="E6E6E6"/>
          </w:tcPr>
          <w:p w14:paraId="33AB5C84" w14:textId="77777777" w:rsidR="00863150" w:rsidRPr="004E2C40" w:rsidRDefault="00863150">
            <w:pPr>
              <w:keepLines/>
              <w:spacing w:before="40" w:after="40" w:line="190" w:lineRule="exact"/>
              <w:jc w:val="center"/>
              <w:rPr>
                <w:b/>
                <w:bCs/>
                <w:sz w:val="20"/>
                <w:szCs w:val="20"/>
              </w:rPr>
            </w:pPr>
            <w:r w:rsidRPr="004E2C40">
              <w:rPr>
                <w:b/>
                <w:bCs/>
                <w:sz w:val="20"/>
                <w:szCs w:val="20"/>
              </w:rPr>
              <w:t xml:space="preserve">Proposed change </w:t>
            </w:r>
          </w:p>
          <w:p w14:paraId="50091044" w14:textId="565F2D78" w:rsidR="00863150" w:rsidRPr="004E2C40" w:rsidRDefault="00863150">
            <w:pPr>
              <w:keepLines/>
              <w:spacing w:before="40" w:after="40" w:line="190" w:lineRule="exact"/>
              <w:jc w:val="center"/>
              <w:rPr>
                <w:b/>
                <w:bCs/>
                <w:sz w:val="20"/>
                <w:szCs w:val="20"/>
              </w:rPr>
            </w:pPr>
            <w:r w:rsidRPr="004E2C40">
              <w:rPr>
                <w:b/>
                <w:bCs/>
                <w:sz w:val="20"/>
                <w:szCs w:val="20"/>
              </w:rPr>
              <w:t>(</w:t>
            </w:r>
            <w:proofErr w:type="gramStart"/>
            <w:r w:rsidRPr="004E2C40">
              <w:rPr>
                <w:b/>
                <w:bCs/>
                <w:sz w:val="20"/>
                <w:szCs w:val="20"/>
              </w:rPr>
              <w:t>including</w:t>
            </w:r>
            <w:proofErr w:type="gramEnd"/>
            <w:r w:rsidRPr="004E2C40">
              <w:rPr>
                <w:b/>
                <w:bCs/>
                <w:sz w:val="20"/>
                <w:szCs w:val="20"/>
              </w:rPr>
              <w:t xml:space="preserve"> proposed text)</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06C1D227" w14:textId="77777777" w:rsidR="00863150" w:rsidRPr="004E2C40" w:rsidRDefault="00863150" w:rsidP="005A256D">
            <w:pPr>
              <w:keepLines/>
              <w:spacing w:before="40" w:after="40" w:line="190" w:lineRule="exact"/>
              <w:jc w:val="center"/>
              <w:rPr>
                <w:b/>
                <w:bCs/>
                <w:sz w:val="20"/>
                <w:szCs w:val="20"/>
              </w:rPr>
            </w:pPr>
            <w:r w:rsidRPr="004E2C40">
              <w:rPr>
                <w:b/>
                <w:bCs/>
                <w:sz w:val="20"/>
                <w:szCs w:val="20"/>
              </w:rPr>
              <w:t>Assessment of comment</w:t>
            </w:r>
          </w:p>
          <w:p w14:paraId="54A7E6A7" w14:textId="77777777" w:rsidR="00863150" w:rsidRPr="004E2C40" w:rsidRDefault="00863150" w:rsidP="005A256D">
            <w:pPr>
              <w:keepLines/>
              <w:spacing w:before="40" w:after="40" w:line="190" w:lineRule="exact"/>
              <w:jc w:val="center"/>
              <w:rPr>
                <w:b/>
                <w:bCs/>
                <w:sz w:val="20"/>
                <w:szCs w:val="20"/>
              </w:rPr>
            </w:pPr>
            <w:r w:rsidRPr="004E2C40">
              <w:rPr>
                <w:b/>
                <w:bCs/>
                <w:sz w:val="20"/>
                <w:szCs w:val="20"/>
              </w:rPr>
              <w:t>(</w:t>
            </w:r>
            <w:proofErr w:type="gramStart"/>
            <w:r w:rsidRPr="004E2C40">
              <w:rPr>
                <w:b/>
                <w:bCs/>
                <w:i/>
                <w:sz w:val="20"/>
                <w:szCs w:val="20"/>
              </w:rPr>
              <w:t>to</w:t>
            </w:r>
            <w:proofErr w:type="gramEnd"/>
            <w:r w:rsidRPr="004E2C40">
              <w:rPr>
                <w:b/>
                <w:bCs/>
                <w:i/>
                <w:sz w:val="20"/>
                <w:szCs w:val="20"/>
              </w:rPr>
              <w:t xml:space="preserve"> be completed by UNFCCC secretariat</w:t>
            </w:r>
            <w:r w:rsidRPr="004E2C40">
              <w:rPr>
                <w:b/>
                <w:bCs/>
                <w:sz w:val="20"/>
                <w:szCs w:val="20"/>
              </w:rPr>
              <w:t>)</w:t>
            </w:r>
          </w:p>
        </w:tc>
      </w:tr>
      <w:tr w:rsidR="00863150" w:rsidRPr="004E2C40" w14:paraId="1DABCE09"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1DE1019C" w14:textId="384F2889" w:rsidR="00863150" w:rsidRPr="004E2C40" w:rsidRDefault="0063717C">
            <w:pPr>
              <w:keepLines/>
              <w:spacing w:before="40" w:after="40" w:line="190" w:lineRule="exact"/>
              <w:jc w:val="center"/>
              <w:rPr>
                <w:b/>
                <w:bCs/>
                <w:sz w:val="20"/>
                <w:szCs w:val="20"/>
              </w:rPr>
            </w:pPr>
            <w:r w:rsidRPr="004E2C40">
              <w:rPr>
                <w:b/>
                <w:bCs/>
                <w:sz w:val="20"/>
                <w:szCs w:val="20"/>
              </w:rPr>
              <w:t>1</w:t>
            </w:r>
          </w:p>
        </w:tc>
        <w:tc>
          <w:tcPr>
            <w:tcW w:w="2272" w:type="dxa"/>
            <w:gridSpan w:val="2"/>
            <w:tcBorders>
              <w:top w:val="single" w:sz="6" w:space="0" w:color="auto"/>
              <w:left w:val="single" w:sz="6" w:space="0" w:color="auto"/>
              <w:bottom w:val="single" w:sz="6" w:space="0" w:color="auto"/>
              <w:right w:val="single" w:sz="6" w:space="0" w:color="auto"/>
            </w:tcBorders>
          </w:tcPr>
          <w:p w14:paraId="25375864" w14:textId="4030CB3C" w:rsidR="00863150" w:rsidRPr="004E2C40" w:rsidRDefault="148695BA" w:rsidP="5D0333FE">
            <w:pPr>
              <w:keepLines/>
              <w:spacing w:before="40" w:after="40" w:line="190" w:lineRule="exact"/>
              <w:jc w:val="center"/>
              <w:rPr>
                <w:b/>
                <w:bCs/>
                <w:sz w:val="20"/>
                <w:szCs w:val="20"/>
              </w:rPr>
            </w:pPr>
            <w:r w:rsidRPr="004E2C40">
              <w:rPr>
                <w:b/>
                <w:bCs/>
                <w:sz w:val="20"/>
                <w:szCs w:val="20"/>
              </w:rPr>
              <w:t xml:space="preserve">Section </w:t>
            </w:r>
            <w:r w:rsidR="2385C5FD" w:rsidRPr="004E2C40">
              <w:rPr>
                <w:b/>
                <w:bCs/>
                <w:sz w:val="20"/>
                <w:szCs w:val="20"/>
              </w:rPr>
              <w:t xml:space="preserve">3.2 </w:t>
            </w:r>
          </w:p>
          <w:p w14:paraId="5C076DD9" w14:textId="6FC92FBE" w:rsidR="00863150" w:rsidRPr="004E2C40" w:rsidRDefault="4DC6186D" w:rsidP="07F4AF5B">
            <w:pPr>
              <w:keepLines/>
              <w:spacing w:before="40" w:after="40" w:line="190" w:lineRule="exact"/>
              <w:jc w:val="center"/>
              <w:rPr>
                <w:b/>
                <w:sz w:val="20"/>
                <w:szCs w:val="20"/>
              </w:rPr>
            </w:pPr>
            <w:r w:rsidRPr="004E2C40">
              <w:rPr>
                <w:b/>
                <w:bCs/>
                <w:sz w:val="20"/>
                <w:szCs w:val="20"/>
              </w:rPr>
              <w:t>Pg</w:t>
            </w:r>
            <w:r w:rsidR="2385C5FD" w:rsidRPr="004E2C40">
              <w:rPr>
                <w:b/>
                <w:bCs/>
                <w:sz w:val="20"/>
                <w:szCs w:val="20"/>
              </w:rPr>
              <w:t xml:space="preserve"> 4</w:t>
            </w:r>
          </w:p>
        </w:tc>
        <w:tc>
          <w:tcPr>
            <w:tcW w:w="966" w:type="dxa"/>
            <w:tcBorders>
              <w:top w:val="single" w:sz="6" w:space="0" w:color="auto"/>
              <w:left w:val="single" w:sz="6" w:space="0" w:color="auto"/>
              <w:bottom w:val="single" w:sz="6" w:space="0" w:color="auto"/>
              <w:right w:val="single" w:sz="6" w:space="0" w:color="auto"/>
            </w:tcBorders>
          </w:tcPr>
          <w:p w14:paraId="240E162B" w14:textId="2C32113D" w:rsidR="00863150" w:rsidRPr="004E2C40" w:rsidRDefault="4D4916A9" w:rsidP="07F4AF5B">
            <w:pPr>
              <w:keepLines/>
              <w:spacing w:before="40" w:after="40" w:line="190" w:lineRule="exact"/>
              <w:jc w:val="center"/>
              <w:rPr>
                <w:b/>
                <w:sz w:val="20"/>
                <w:szCs w:val="20"/>
              </w:rPr>
            </w:pPr>
            <w:r w:rsidRPr="004E2C40">
              <w:rPr>
                <w:b/>
                <w:bCs/>
                <w:sz w:val="20"/>
                <w:szCs w:val="20"/>
              </w:rPr>
              <w:t>Line 11 point (a)</w:t>
            </w:r>
          </w:p>
        </w:tc>
        <w:tc>
          <w:tcPr>
            <w:tcW w:w="938" w:type="dxa"/>
            <w:tcBorders>
              <w:top w:val="single" w:sz="6" w:space="0" w:color="auto"/>
              <w:left w:val="single" w:sz="6" w:space="0" w:color="auto"/>
              <w:bottom w:val="single" w:sz="6" w:space="0" w:color="auto"/>
              <w:right w:val="single" w:sz="6" w:space="0" w:color="auto"/>
            </w:tcBorders>
          </w:tcPr>
          <w:p w14:paraId="4B753E85" w14:textId="78693DAF" w:rsidR="00863150" w:rsidRPr="004E2C40" w:rsidRDefault="5B1FB81E">
            <w:pPr>
              <w:keepLines/>
              <w:spacing w:before="40" w:after="40" w:line="190" w:lineRule="exact"/>
              <w:jc w:val="center"/>
              <w:rPr>
                <w:b/>
                <w:bCs/>
                <w:sz w:val="20"/>
                <w:szCs w:val="20"/>
              </w:rPr>
            </w:pPr>
            <w:proofErr w:type="spellStart"/>
            <w:r w:rsidRPr="004E2C40">
              <w:rPr>
                <w:b/>
                <w:bCs/>
                <w:sz w:val="20"/>
                <w:szCs w:val="20"/>
              </w:rPr>
              <w:t>g</w:t>
            </w:r>
            <w:r w:rsidR="5AB71F6C" w:rsidRPr="004E2C40">
              <w:rPr>
                <w:b/>
                <w:bCs/>
                <w:sz w:val="20"/>
                <w:szCs w:val="20"/>
              </w:rPr>
              <w:t>e</w:t>
            </w:r>
            <w:proofErr w:type="spellEnd"/>
          </w:p>
        </w:tc>
        <w:tc>
          <w:tcPr>
            <w:tcW w:w="4444" w:type="dxa"/>
            <w:tcBorders>
              <w:top w:val="single" w:sz="6" w:space="0" w:color="auto"/>
              <w:left w:val="single" w:sz="6" w:space="0" w:color="auto"/>
              <w:bottom w:val="single" w:sz="6" w:space="0" w:color="auto"/>
              <w:right w:val="single" w:sz="6" w:space="0" w:color="auto"/>
            </w:tcBorders>
          </w:tcPr>
          <w:p w14:paraId="6C940BED" w14:textId="3DDA3B2C" w:rsidR="00863150" w:rsidRPr="004E2C40" w:rsidRDefault="3CCC0D28" w:rsidP="5D0333FE">
            <w:pPr>
              <w:keepLines/>
              <w:spacing w:before="40" w:after="40" w:line="190" w:lineRule="exact"/>
              <w:rPr>
                <w:b/>
                <w:bCs/>
                <w:sz w:val="20"/>
                <w:szCs w:val="20"/>
              </w:rPr>
            </w:pPr>
            <w:r w:rsidRPr="004E2C40">
              <w:rPr>
                <w:b/>
                <w:bCs/>
                <w:sz w:val="20"/>
                <w:szCs w:val="20"/>
              </w:rPr>
              <w:t>The authors assert that CDM T</w:t>
            </w:r>
            <w:r w:rsidR="0022703A" w:rsidRPr="004E2C40">
              <w:rPr>
                <w:b/>
                <w:bCs/>
                <w:sz w:val="20"/>
                <w:szCs w:val="20"/>
              </w:rPr>
              <w:t>OOL</w:t>
            </w:r>
            <w:r w:rsidRPr="004E2C40">
              <w:rPr>
                <w:b/>
                <w:bCs/>
                <w:sz w:val="20"/>
                <w:szCs w:val="20"/>
              </w:rPr>
              <w:t>3</w:t>
            </w:r>
            <w:r w:rsidR="003136F7" w:rsidRPr="004E2C40">
              <w:rPr>
                <w:b/>
                <w:bCs/>
                <w:sz w:val="20"/>
                <w:szCs w:val="20"/>
              </w:rPr>
              <w:t>0</w:t>
            </w:r>
            <w:r w:rsidRPr="004E2C40">
              <w:rPr>
                <w:b/>
                <w:bCs/>
                <w:sz w:val="20"/>
                <w:szCs w:val="20"/>
              </w:rPr>
              <w:t xml:space="preserve"> delineates biomass consumption on a jurisdictional basis, while </w:t>
            </w:r>
            <w:proofErr w:type="spellStart"/>
            <w:r w:rsidRPr="004E2C40">
              <w:rPr>
                <w:b/>
                <w:bCs/>
                <w:sz w:val="20"/>
                <w:szCs w:val="20"/>
              </w:rPr>
              <w:t>MoFuSS</w:t>
            </w:r>
            <w:proofErr w:type="spellEnd"/>
            <w:r w:rsidRPr="004E2C40">
              <w:rPr>
                <w:b/>
                <w:bCs/>
                <w:sz w:val="20"/>
                <w:szCs w:val="20"/>
              </w:rPr>
              <w:t xml:space="preserve"> employs a pixel-level scale and subsequently aggregates these values to higher levels.</w:t>
            </w:r>
          </w:p>
          <w:p w14:paraId="18B43D1A" w14:textId="3E812B14" w:rsidR="00863150" w:rsidRPr="004E2C40" w:rsidRDefault="00863150" w:rsidP="07F4AF5B">
            <w:pPr>
              <w:keepLines/>
              <w:spacing w:before="40" w:after="40" w:line="190" w:lineRule="exact"/>
              <w:rPr>
                <w:b/>
                <w:bCs/>
                <w:sz w:val="20"/>
                <w:szCs w:val="20"/>
              </w:rPr>
            </w:pPr>
          </w:p>
          <w:p w14:paraId="6BEC586B" w14:textId="3B74BEAE" w:rsidR="00863150" w:rsidRPr="004E2C40" w:rsidRDefault="612C0785" w:rsidP="07F4AF5B">
            <w:pPr>
              <w:keepLines/>
              <w:spacing w:before="40" w:after="40" w:line="190" w:lineRule="exact"/>
              <w:rPr>
                <w:b/>
                <w:bCs/>
                <w:sz w:val="20"/>
                <w:szCs w:val="20"/>
              </w:rPr>
            </w:pPr>
            <w:r w:rsidRPr="004E2C40">
              <w:rPr>
                <w:b/>
                <w:bCs/>
                <w:sz w:val="20"/>
                <w:szCs w:val="20"/>
              </w:rPr>
              <w:t>T</w:t>
            </w:r>
            <w:r w:rsidR="2691CA18" w:rsidRPr="004E2C40">
              <w:rPr>
                <w:b/>
                <w:bCs/>
                <w:sz w:val="20"/>
                <w:szCs w:val="20"/>
              </w:rPr>
              <w:t>he</w:t>
            </w:r>
            <w:r w:rsidR="0B426ED1" w:rsidRPr="004E2C40">
              <w:rPr>
                <w:b/>
                <w:bCs/>
                <w:sz w:val="20"/>
                <w:szCs w:val="20"/>
              </w:rPr>
              <w:t xml:space="preserve"> </w:t>
            </w:r>
            <w:r w:rsidR="3CCC0D28" w:rsidRPr="004E2C40">
              <w:rPr>
                <w:b/>
                <w:bCs/>
                <w:sz w:val="20"/>
                <w:szCs w:val="20"/>
              </w:rPr>
              <w:t>rationale behind the utilization</w:t>
            </w:r>
            <w:r w:rsidR="2691CA18" w:rsidRPr="004E2C40">
              <w:rPr>
                <w:b/>
                <w:bCs/>
                <w:sz w:val="20"/>
                <w:szCs w:val="20"/>
              </w:rPr>
              <w:t xml:space="preserve"> of pixel</w:t>
            </w:r>
            <w:r w:rsidR="3CCC0D28" w:rsidRPr="004E2C40">
              <w:rPr>
                <w:b/>
                <w:bCs/>
                <w:sz w:val="20"/>
                <w:szCs w:val="20"/>
              </w:rPr>
              <w:t>-</w:t>
            </w:r>
            <w:r w:rsidR="2691CA18" w:rsidRPr="004E2C40">
              <w:rPr>
                <w:b/>
                <w:bCs/>
                <w:sz w:val="20"/>
                <w:szCs w:val="20"/>
              </w:rPr>
              <w:t xml:space="preserve">level fNRB values </w:t>
            </w:r>
            <w:r w:rsidR="3CCC0D28" w:rsidRPr="004E2C40">
              <w:rPr>
                <w:b/>
                <w:bCs/>
                <w:sz w:val="20"/>
                <w:szCs w:val="20"/>
              </w:rPr>
              <w:t>remains unexplained, particularly because</w:t>
            </w:r>
            <w:r w:rsidR="09106B56" w:rsidRPr="004E2C40">
              <w:rPr>
                <w:b/>
                <w:bCs/>
                <w:sz w:val="20"/>
                <w:szCs w:val="20"/>
              </w:rPr>
              <w:t xml:space="preserve"> growth,</w:t>
            </w:r>
            <w:r w:rsidR="2691CA18" w:rsidRPr="004E2C40">
              <w:rPr>
                <w:b/>
                <w:bCs/>
                <w:sz w:val="20"/>
                <w:szCs w:val="20"/>
              </w:rPr>
              <w:t xml:space="preserve"> harvest</w:t>
            </w:r>
            <w:r w:rsidR="3CCC0D28" w:rsidRPr="004E2C40">
              <w:rPr>
                <w:b/>
                <w:bCs/>
                <w:sz w:val="20"/>
                <w:szCs w:val="20"/>
              </w:rPr>
              <w:t>,</w:t>
            </w:r>
            <w:r w:rsidR="2691CA18" w:rsidRPr="004E2C40">
              <w:rPr>
                <w:b/>
                <w:bCs/>
                <w:sz w:val="20"/>
                <w:szCs w:val="20"/>
              </w:rPr>
              <w:t xml:space="preserve"> and consumption</w:t>
            </w:r>
            <w:r w:rsidR="008E298E" w:rsidRPr="004E2C40">
              <w:rPr>
                <w:b/>
                <w:bCs/>
                <w:sz w:val="20"/>
                <w:szCs w:val="20"/>
              </w:rPr>
              <w:t xml:space="preserve"> </w:t>
            </w:r>
            <w:r w:rsidR="3CCC0D28" w:rsidRPr="004E2C40">
              <w:rPr>
                <w:b/>
                <w:bCs/>
                <w:sz w:val="20"/>
                <w:szCs w:val="20"/>
              </w:rPr>
              <w:t>—</w:t>
            </w:r>
            <w:r w:rsidR="008E298E" w:rsidRPr="004E2C40">
              <w:rPr>
                <w:b/>
                <w:bCs/>
                <w:sz w:val="20"/>
                <w:szCs w:val="20"/>
              </w:rPr>
              <w:t xml:space="preserve"> </w:t>
            </w:r>
            <w:r w:rsidR="3CCC0D28" w:rsidRPr="004E2C40">
              <w:rPr>
                <w:b/>
                <w:bCs/>
                <w:sz w:val="20"/>
                <w:szCs w:val="20"/>
              </w:rPr>
              <w:t>factors employed</w:t>
            </w:r>
            <w:r w:rsidR="64A6C8A4" w:rsidRPr="004E2C40">
              <w:rPr>
                <w:b/>
                <w:bCs/>
                <w:sz w:val="20"/>
                <w:szCs w:val="20"/>
              </w:rPr>
              <w:t xml:space="preserve"> in the fNRB estimation</w:t>
            </w:r>
            <w:r w:rsidR="008E298E" w:rsidRPr="004E2C40">
              <w:rPr>
                <w:b/>
                <w:bCs/>
                <w:sz w:val="20"/>
                <w:szCs w:val="20"/>
              </w:rPr>
              <w:t xml:space="preserve"> </w:t>
            </w:r>
            <w:r w:rsidR="3CCC0D28" w:rsidRPr="004E2C40">
              <w:rPr>
                <w:b/>
                <w:bCs/>
                <w:sz w:val="20"/>
                <w:szCs w:val="20"/>
              </w:rPr>
              <w:t>—</w:t>
            </w:r>
            <w:r w:rsidR="008E298E" w:rsidRPr="004E2C40">
              <w:rPr>
                <w:b/>
                <w:bCs/>
                <w:sz w:val="20"/>
                <w:szCs w:val="20"/>
              </w:rPr>
              <w:t xml:space="preserve"> </w:t>
            </w:r>
            <w:r w:rsidR="2691CA18" w:rsidRPr="004E2C40">
              <w:rPr>
                <w:b/>
                <w:bCs/>
                <w:sz w:val="20"/>
                <w:szCs w:val="20"/>
              </w:rPr>
              <w:t xml:space="preserve">may not </w:t>
            </w:r>
            <w:r w:rsidR="3CCC0D28" w:rsidRPr="004E2C40">
              <w:rPr>
                <w:b/>
                <w:bCs/>
                <w:sz w:val="20"/>
                <w:szCs w:val="20"/>
              </w:rPr>
              <w:t>coincide</w:t>
            </w:r>
            <w:r w:rsidR="2691CA18" w:rsidRPr="004E2C40">
              <w:rPr>
                <w:b/>
                <w:bCs/>
                <w:sz w:val="20"/>
                <w:szCs w:val="20"/>
              </w:rPr>
              <w:t xml:space="preserve"> </w:t>
            </w:r>
            <w:r w:rsidR="1D74FE17" w:rsidRPr="004E2C40">
              <w:rPr>
                <w:b/>
                <w:bCs/>
                <w:sz w:val="20"/>
                <w:szCs w:val="20"/>
              </w:rPr>
              <w:t>within the same pixel.</w:t>
            </w:r>
          </w:p>
        </w:tc>
        <w:tc>
          <w:tcPr>
            <w:tcW w:w="3971" w:type="dxa"/>
            <w:tcBorders>
              <w:top w:val="single" w:sz="6" w:space="0" w:color="auto"/>
              <w:left w:val="single" w:sz="6" w:space="0" w:color="auto"/>
              <w:bottom w:val="single" w:sz="6" w:space="0" w:color="auto"/>
              <w:right w:val="single" w:sz="6" w:space="0" w:color="auto"/>
            </w:tcBorders>
          </w:tcPr>
          <w:p w14:paraId="6508F47C" w14:textId="1A0C6F7A" w:rsidR="00863150" w:rsidRPr="004E2C40" w:rsidRDefault="7BE2AE43" w:rsidP="07F4AF5B">
            <w:pPr>
              <w:keepLines/>
              <w:spacing w:before="40" w:after="40" w:line="190" w:lineRule="exact"/>
              <w:rPr>
                <w:b/>
                <w:bCs/>
                <w:sz w:val="20"/>
                <w:szCs w:val="20"/>
              </w:rPr>
            </w:pPr>
            <w:r w:rsidRPr="004E2C40">
              <w:rPr>
                <w:b/>
                <w:bCs/>
                <w:sz w:val="20"/>
                <w:szCs w:val="20"/>
              </w:rPr>
              <w:t xml:space="preserve">The </w:t>
            </w:r>
            <w:r w:rsidR="7B70F259" w:rsidRPr="004E2C40">
              <w:rPr>
                <w:b/>
                <w:bCs/>
                <w:sz w:val="20"/>
                <w:szCs w:val="20"/>
              </w:rPr>
              <w:t>authors should include</w:t>
            </w:r>
            <w:r w:rsidRPr="004E2C40">
              <w:rPr>
                <w:b/>
                <w:bCs/>
                <w:sz w:val="20"/>
                <w:szCs w:val="20"/>
              </w:rPr>
              <w:t xml:space="preserve"> a discussion </w:t>
            </w:r>
            <w:r w:rsidR="7B70F259" w:rsidRPr="004E2C40">
              <w:rPr>
                <w:b/>
                <w:bCs/>
                <w:sz w:val="20"/>
                <w:szCs w:val="20"/>
              </w:rPr>
              <w:t>concerning</w:t>
            </w:r>
            <w:r w:rsidRPr="004E2C40">
              <w:rPr>
                <w:b/>
                <w:bCs/>
                <w:sz w:val="20"/>
                <w:szCs w:val="20"/>
              </w:rPr>
              <w:t xml:space="preserve"> the </w:t>
            </w:r>
            <w:r w:rsidR="7B70F259" w:rsidRPr="004E2C40">
              <w:rPr>
                <w:b/>
                <w:bCs/>
                <w:sz w:val="20"/>
                <w:szCs w:val="20"/>
              </w:rPr>
              <w:t xml:space="preserve">relevance and </w:t>
            </w:r>
            <w:r w:rsidRPr="004E2C40">
              <w:rPr>
                <w:b/>
                <w:bCs/>
                <w:sz w:val="20"/>
                <w:szCs w:val="20"/>
              </w:rPr>
              <w:t>applicability of pixel</w:t>
            </w:r>
            <w:r w:rsidR="7B70F259" w:rsidRPr="004E2C40">
              <w:rPr>
                <w:b/>
                <w:bCs/>
                <w:sz w:val="20"/>
                <w:szCs w:val="20"/>
              </w:rPr>
              <w:t>-</w:t>
            </w:r>
            <w:r w:rsidRPr="004E2C40">
              <w:rPr>
                <w:b/>
                <w:bCs/>
                <w:sz w:val="20"/>
                <w:szCs w:val="20"/>
              </w:rPr>
              <w:t>scale fNRB values.</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23981D61" w14:textId="77777777" w:rsidR="00863150" w:rsidRPr="004E2C40" w:rsidRDefault="00863150">
            <w:pPr>
              <w:keepLines/>
              <w:spacing w:before="40" w:after="40" w:line="190" w:lineRule="exact"/>
              <w:jc w:val="center"/>
              <w:rPr>
                <w:b/>
                <w:bCs/>
                <w:sz w:val="20"/>
                <w:szCs w:val="20"/>
              </w:rPr>
            </w:pPr>
          </w:p>
        </w:tc>
      </w:tr>
      <w:tr w:rsidR="07F4AF5B" w:rsidRPr="004E2C40" w14:paraId="2205123A"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3CE953E7" w14:textId="4FD2DDD8" w:rsidR="07F4AF5B" w:rsidRPr="004E2C40" w:rsidRDefault="0063717C" w:rsidP="07F4AF5B">
            <w:pPr>
              <w:spacing w:line="190" w:lineRule="exact"/>
              <w:jc w:val="center"/>
              <w:rPr>
                <w:b/>
                <w:bCs/>
                <w:sz w:val="20"/>
                <w:szCs w:val="20"/>
              </w:rPr>
            </w:pPr>
            <w:r w:rsidRPr="004E2C40">
              <w:rPr>
                <w:b/>
                <w:bCs/>
                <w:sz w:val="20"/>
                <w:szCs w:val="20"/>
              </w:rPr>
              <w:lastRenderedPageBreak/>
              <w:t>2</w:t>
            </w:r>
          </w:p>
        </w:tc>
        <w:tc>
          <w:tcPr>
            <w:tcW w:w="2272" w:type="dxa"/>
            <w:gridSpan w:val="2"/>
            <w:tcBorders>
              <w:top w:val="single" w:sz="6" w:space="0" w:color="auto"/>
              <w:left w:val="single" w:sz="6" w:space="0" w:color="auto"/>
              <w:bottom w:val="single" w:sz="6" w:space="0" w:color="auto"/>
              <w:right w:val="single" w:sz="6" w:space="0" w:color="auto"/>
            </w:tcBorders>
          </w:tcPr>
          <w:p w14:paraId="7D3DA3B0" w14:textId="3847FB10" w:rsidR="6ACA721A" w:rsidRPr="004E2C40" w:rsidRDefault="6ACA721A" w:rsidP="5D0333FE">
            <w:pPr>
              <w:spacing w:line="190" w:lineRule="exact"/>
              <w:jc w:val="center"/>
              <w:rPr>
                <w:b/>
                <w:bCs/>
                <w:sz w:val="20"/>
                <w:szCs w:val="20"/>
              </w:rPr>
            </w:pPr>
            <w:r w:rsidRPr="004E2C40">
              <w:rPr>
                <w:b/>
                <w:bCs/>
                <w:sz w:val="20"/>
                <w:szCs w:val="20"/>
              </w:rPr>
              <w:t>Proposed changes to TOOL30</w:t>
            </w:r>
          </w:p>
          <w:p w14:paraId="19F4984E" w14:textId="6DFF5EE6" w:rsidR="622AAB2E" w:rsidRPr="004E2C40" w:rsidRDefault="622AAB2E" w:rsidP="5D0333FE">
            <w:pPr>
              <w:spacing w:line="190" w:lineRule="exact"/>
              <w:jc w:val="center"/>
              <w:rPr>
                <w:b/>
                <w:bCs/>
                <w:sz w:val="20"/>
                <w:szCs w:val="20"/>
              </w:rPr>
            </w:pPr>
            <w:r w:rsidRPr="004E2C40">
              <w:rPr>
                <w:b/>
                <w:bCs/>
                <w:sz w:val="20"/>
                <w:szCs w:val="20"/>
              </w:rPr>
              <w:t>Pg 49</w:t>
            </w:r>
          </w:p>
          <w:p w14:paraId="42285332" w14:textId="26B767E3" w:rsidR="5E75D1E8" w:rsidRPr="004E2C40" w:rsidRDefault="5E75D1E8" w:rsidP="07F4AF5B">
            <w:pPr>
              <w:spacing w:line="190" w:lineRule="exact"/>
              <w:jc w:val="center"/>
              <w:rPr>
                <w:b/>
                <w:sz w:val="20"/>
                <w:szCs w:val="20"/>
              </w:rPr>
            </w:pPr>
          </w:p>
        </w:tc>
        <w:tc>
          <w:tcPr>
            <w:tcW w:w="966" w:type="dxa"/>
            <w:tcBorders>
              <w:top w:val="single" w:sz="6" w:space="0" w:color="auto"/>
              <w:left w:val="single" w:sz="6" w:space="0" w:color="auto"/>
              <w:bottom w:val="single" w:sz="6" w:space="0" w:color="auto"/>
              <w:right w:val="single" w:sz="6" w:space="0" w:color="auto"/>
            </w:tcBorders>
          </w:tcPr>
          <w:p w14:paraId="31692540" w14:textId="2A4343F6" w:rsidR="5E75D1E8" w:rsidRPr="004E2C40" w:rsidRDefault="022223A5" w:rsidP="07F4AF5B">
            <w:pPr>
              <w:spacing w:line="190" w:lineRule="exact"/>
              <w:jc w:val="center"/>
              <w:rPr>
                <w:b/>
                <w:sz w:val="20"/>
                <w:szCs w:val="20"/>
              </w:rPr>
            </w:pPr>
            <w:r w:rsidRPr="004E2C40">
              <w:rPr>
                <w:b/>
                <w:bCs/>
                <w:sz w:val="20"/>
                <w:szCs w:val="20"/>
              </w:rPr>
              <w:t>First paragraph</w:t>
            </w:r>
          </w:p>
        </w:tc>
        <w:tc>
          <w:tcPr>
            <w:tcW w:w="938" w:type="dxa"/>
            <w:tcBorders>
              <w:top w:val="single" w:sz="6" w:space="0" w:color="auto"/>
              <w:left w:val="single" w:sz="6" w:space="0" w:color="auto"/>
              <w:bottom w:val="single" w:sz="6" w:space="0" w:color="auto"/>
              <w:right w:val="single" w:sz="6" w:space="0" w:color="auto"/>
            </w:tcBorders>
          </w:tcPr>
          <w:p w14:paraId="45256A69" w14:textId="2490AAED" w:rsidR="07F4AF5B" w:rsidRPr="004E2C40" w:rsidRDefault="07F4AF5B" w:rsidP="07F4AF5B">
            <w:pPr>
              <w:keepLines/>
              <w:spacing w:before="40" w:after="40" w:line="190" w:lineRule="exact"/>
              <w:jc w:val="center"/>
              <w:rPr>
                <w:b/>
                <w:bCs/>
                <w:sz w:val="20"/>
                <w:szCs w:val="20"/>
              </w:rPr>
            </w:pPr>
            <w:proofErr w:type="spellStart"/>
            <w:r w:rsidRPr="004E2C40">
              <w:rPr>
                <w:b/>
                <w:bCs/>
                <w:sz w:val="20"/>
                <w:szCs w:val="20"/>
              </w:rPr>
              <w:t>ge</w:t>
            </w:r>
            <w:proofErr w:type="spellEnd"/>
          </w:p>
        </w:tc>
        <w:tc>
          <w:tcPr>
            <w:tcW w:w="4444" w:type="dxa"/>
            <w:tcBorders>
              <w:top w:val="single" w:sz="6" w:space="0" w:color="auto"/>
              <w:left w:val="single" w:sz="6" w:space="0" w:color="auto"/>
              <w:bottom w:val="single" w:sz="6" w:space="0" w:color="auto"/>
              <w:right w:val="single" w:sz="6" w:space="0" w:color="auto"/>
            </w:tcBorders>
          </w:tcPr>
          <w:p w14:paraId="19C134BF" w14:textId="221CECD9" w:rsidR="5035AB45" w:rsidRPr="004E2C40" w:rsidRDefault="5035AB45" w:rsidP="5D0333FE">
            <w:pPr>
              <w:keepLines/>
              <w:spacing w:before="40" w:after="40" w:line="190" w:lineRule="exact"/>
              <w:rPr>
                <w:b/>
                <w:bCs/>
                <w:sz w:val="20"/>
                <w:szCs w:val="20"/>
              </w:rPr>
            </w:pPr>
            <w:r w:rsidRPr="004E2C40">
              <w:rPr>
                <w:b/>
                <w:bCs/>
                <w:sz w:val="20"/>
                <w:szCs w:val="20"/>
              </w:rPr>
              <w:t>CDM T</w:t>
            </w:r>
            <w:r w:rsidR="001051BA" w:rsidRPr="004E2C40">
              <w:rPr>
                <w:b/>
                <w:bCs/>
                <w:sz w:val="20"/>
                <w:szCs w:val="20"/>
              </w:rPr>
              <w:t>OOL</w:t>
            </w:r>
            <w:r w:rsidRPr="004E2C40">
              <w:rPr>
                <w:b/>
                <w:bCs/>
                <w:sz w:val="20"/>
                <w:szCs w:val="20"/>
              </w:rPr>
              <w:t>30 v4.0 serves as a guideline for determining fNRB, offering flexibility for the integration of various methods and techniques to accommodate specific nuances. It is an adaptable tool open to justifiable amendments.</w:t>
            </w:r>
          </w:p>
          <w:p w14:paraId="1300D97A" w14:textId="16084A17" w:rsidR="5D0333FE" w:rsidRPr="004E2C40" w:rsidRDefault="5D0333FE" w:rsidP="5D0333FE">
            <w:pPr>
              <w:keepLines/>
              <w:spacing w:before="40" w:after="40" w:line="190" w:lineRule="exact"/>
              <w:rPr>
                <w:b/>
                <w:bCs/>
                <w:sz w:val="20"/>
                <w:szCs w:val="20"/>
              </w:rPr>
            </w:pPr>
          </w:p>
          <w:p w14:paraId="312AE013" w14:textId="7A0726B5" w:rsidR="5D0333FE" w:rsidRPr="004E2C40" w:rsidRDefault="5035AB45" w:rsidP="5D0333FE">
            <w:pPr>
              <w:keepLines/>
              <w:spacing w:before="40" w:after="40" w:line="190" w:lineRule="exact"/>
              <w:rPr>
                <w:b/>
                <w:bCs/>
                <w:sz w:val="20"/>
                <w:szCs w:val="20"/>
              </w:rPr>
            </w:pPr>
            <w:r w:rsidRPr="004E2C40">
              <w:rPr>
                <w:b/>
                <w:bCs/>
                <w:sz w:val="20"/>
                <w:szCs w:val="20"/>
              </w:rPr>
              <w:t>For example, it is noted that the assertion that T</w:t>
            </w:r>
            <w:r w:rsidR="003136F7" w:rsidRPr="004E2C40">
              <w:rPr>
                <w:b/>
                <w:bCs/>
                <w:sz w:val="20"/>
                <w:szCs w:val="20"/>
              </w:rPr>
              <w:t>OOL</w:t>
            </w:r>
            <w:r w:rsidRPr="004E2C40">
              <w:rPr>
                <w:b/>
                <w:bCs/>
                <w:sz w:val="20"/>
                <w:szCs w:val="20"/>
              </w:rPr>
              <w:t xml:space="preserve">30 lacks provisions for explicit spatial analyses is inaccurate. In practice, </w:t>
            </w:r>
            <w:r w:rsidR="407C6DEF" w:rsidRPr="004E2C40">
              <w:rPr>
                <w:b/>
                <w:bCs/>
                <w:sz w:val="20"/>
                <w:szCs w:val="20"/>
              </w:rPr>
              <w:t>the tool allows for survey data to be used</w:t>
            </w:r>
            <w:r w:rsidR="00F72B9E" w:rsidRPr="004E2C40">
              <w:rPr>
                <w:b/>
                <w:bCs/>
                <w:sz w:val="20"/>
                <w:szCs w:val="20"/>
              </w:rPr>
              <w:t xml:space="preserve">. </w:t>
            </w:r>
            <w:r w:rsidR="007E27E3" w:rsidRPr="004E2C40">
              <w:rPr>
                <w:b/>
                <w:bCs/>
                <w:sz w:val="20"/>
                <w:szCs w:val="20"/>
              </w:rPr>
              <w:t xml:space="preserve">For instance, </w:t>
            </w:r>
            <w:r w:rsidR="00BA26AD" w:rsidRPr="004E2C40">
              <w:rPr>
                <w:b/>
                <w:bCs/>
                <w:sz w:val="20"/>
                <w:szCs w:val="20"/>
              </w:rPr>
              <w:t xml:space="preserve">the CDM TOOL30-based methodology </w:t>
            </w:r>
            <w:r w:rsidR="00857C29" w:rsidRPr="004E2C40">
              <w:rPr>
                <w:b/>
                <w:bCs/>
                <w:sz w:val="20"/>
                <w:szCs w:val="20"/>
              </w:rPr>
              <w:t xml:space="preserve">we </w:t>
            </w:r>
            <w:r w:rsidR="009B1395" w:rsidRPr="004E2C40">
              <w:rPr>
                <w:b/>
                <w:bCs/>
                <w:sz w:val="20"/>
                <w:szCs w:val="20"/>
              </w:rPr>
              <w:t>rely on</w:t>
            </w:r>
            <w:r w:rsidR="00857C29" w:rsidRPr="004E2C40">
              <w:rPr>
                <w:b/>
                <w:bCs/>
                <w:sz w:val="20"/>
                <w:szCs w:val="20"/>
              </w:rPr>
              <w:t xml:space="preserve"> to estimate our</w:t>
            </w:r>
            <w:r w:rsidR="007E12D6" w:rsidRPr="004E2C40">
              <w:rPr>
                <w:b/>
                <w:bCs/>
                <w:sz w:val="20"/>
                <w:szCs w:val="20"/>
              </w:rPr>
              <w:t xml:space="preserve"> fNRB values</w:t>
            </w:r>
            <w:r w:rsidRPr="004E2C40">
              <w:rPr>
                <w:b/>
                <w:bCs/>
                <w:sz w:val="20"/>
                <w:szCs w:val="20"/>
              </w:rPr>
              <w:t xml:space="preserve"> utilizes the latest Hansen spatial tree cover data, which is further disaggregated into ecological zones and age of stand</w:t>
            </w:r>
            <w:r w:rsidR="00B61346" w:rsidRPr="004E2C40">
              <w:rPr>
                <w:b/>
                <w:bCs/>
                <w:sz w:val="20"/>
                <w:szCs w:val="20"/>
              </w:rPr>
              <w:t xml:space="preserve"> (see </w:t>
            </w:r>
            <w:r w:rsidR="00E84A77" w:rsidRPr="004E2C40">
              <w:rPr>
                <w:b/>
                <w:bCs/>
                <w:sz w:val="20"/>
                <w:szCs w:val="20"/>
              </w:rPr>
              <w:t>Annex 2_fNRB_CQC_C4ES Technical Review</w:t>
            </w:r>
            <w:r w:rsidR="00B61346" w:rsidRPr="004E2C40">
              <w:rPr>
                <w:b/>
                <w:bCs/>
                <w:sz w:val="20"/>
                <w:szCs w:val="20"/>
              </w:rPr>
              <w:t>)</w:t>
            </w:r>
            <w:r w:rsidRPr="004E2C40">
              <w:rPr>
                <w:b/>
                <w:bCs/>
                <w:sz w:val="20"/>
                <w:szCs w:val="20"/>
              </w:rPr>
              <w:t>. This approach also includes spatial data for protected and geographically remote areas.</w:t>
            </w:r>
          </w:p>
          <w:p w14:paraId="7AFBF523" w14:textId="77777777" w:rsidR="007E12D6" w:rsidRPr="004E2C40" w:rsidRDefault="007E12D6" w:rsidP="5D0333FE">
            <w:pPr>
              <w:keepLines/>
              <w:spacing w:before="40" w:after="40" w:line="190" w:lineRule="exact"/>
              <w:rPr>
                <w:b/>
                <w:bCs/>
                <w:sz w:val="20"/>
                <w:szCs w:val="20"/>
              </w:rPr>
            </w:pPr>
          </w:p>
          <w:p w14:paraId="62E2224E" w14:textId="29964A9A" w:rsidR="07F4AF5B" w:rsidRPr="004E2C40" w:rsidRDefault="5035AB45" w:rsidP="07F4AF5B">
            <w:pPr>
              <w:keepLines/>
              <w:spacing w:before="40" w:after="40" w:line="190" w:lineRule="exact"/>
              <w:rPr>
                <w:sz w:val="20"/>
                <w:szCs w:val="20"/>
              </w:rPr>
            </w:pPr>
            <w:r w:rsidRPr="004E2C40">
              <w:rPr>
                <w:b/>
                <w:bCs/>
                <w:sz w:val="20"/>
                <w:szCs w:val="20"/>
              </w:rPr>
              <w:t>Additionally, the claim that the tool recommends using outdated 2000 FAO tree cover data that overlooks trees</w:t>
            </w:r>
            <w:r w:rsidR="78BABCBC" w:rsidRPr="004E2C40">
              <w:rPr>
                <w:b/>
                <w:bCs/>
                <w:sz w:val="20"/>
                <w:szCs w:val="20"/>
              </w:rPr>
              <w:t xml:space="preserve"> outside of forests that are</w:t>
            </w:r>
            <w:r w:rsidRPr="004E2C40">
              <w:rPr>
                <w:b/>
                <w:bCs/>
                <w:sz w:val="20"/>
                <w:szCs w:val="20"/>
              </w:rPr>
              <w:t xml:space="preserve"> harvested for fuelwood is incorrect. The tool, in fact, offers multiple sources for tree cover data and mandates the use of the most recent data. The FAO 2020 forest cover data represents just one option, with the flexibility to incorporate project-specific survey data and official statistics. Furthermore, the utilization of Hansen spatial tree cover data enables the consideration of trees outside traditional forest areas, such as plantations and </w:t>
            </w:r>
            <w:proofErr w:type="spellStart"/>
            <w:r w:rsidRPr="004E2C40">
              <w:rPr>
                <w:b/>
                <w:bCs/>
                <w:sz w:val="20"/>
                <w:szCs w:val="20"/>
              </w:rPr>
              <w:t>agro</w:t>
            </w:r>
            <w:proofErr w:type="spellEnd"/>
            <w:r w:rsidRPr="004E2C40">
              <w:rPr>
                <w:b/>
                <w:bCs/>
                <w:sz w:val="20"/>
                <w:szCs w:val="20"/>
              </w:rPr>
              <w:t>-forested regions.</w:t>
            </w:r>
          </w:p>
        </w:tc>
        <w:tc>
          <w:tcPr>
            <w:tcW w:w="3971" w:type="dxa"/>
            <w:tcBorders>
              <w:top w:val="single" w:sz="6" w:space="0" w:color="auto"/>
              <w:left w:val="single" w:sz="6" w:space="0" w:color="auto"/>
              <w:bottom w:val="single" w:sz="6" w:space="0" w:color="auto"/>
              <w:right w:val="single" w:sz="6" w:space="0" w:color="auto"/>
            </w:tcBorders>
          </w:tcPr>
          <w:p w14:paraId="440F8E8F" w14:textId="06A2B206" w:rsidR="645629FB" w:rsidRPr="004E2C40" w:rsidRDefault="645629FB" w:rsidP="5D0333FE">
            <w:pPr>
              <w:keepLines/>
              <w:spacing w:before="40" w:after="40" w:line="190" w:lineRule="exact"/>
              <w:rPr>
                <w:b/>
                <w:bCs/>
                <w:sz w:val="20"/>
                <w:szCs w:val="20"/>
              </w:rPr>
            </w:pPr>
            <w:r w:rsidRPr="004E2C40">
              <w:rPr>
                <w:b/>
                <w:bCs/>
                <w:sz w:val="20"/>
                <w:szCs w:val="20"/>
              </w:rPr>
              <w:t>The passages describing these aspects of CDM T</w:t>
            </w:r>
            <w:r w:rsidR="00951714" w:rsidRPr="004E2C40">
              <w:rPr>
                <w:b/>
                <w:bCs/>
                <w:sz w:val="20"/>
                <w:szCs w:val="20"/>
              </w:rPr>
              <w:t>OOL</w:t>
            </w:r>
            <w:r w:rsidRPr="004E2C40">
              <w:rPr>
                <w:b/>
                <w:bCs/>
                <w:sz w:val="20"/>
                <w:szCs w:val="20"/>
              </w:rPr>
              <w:t>30 require correction. An accurate depiction of the guidelines outlined by the tool and its capacity to accommodate nuances related to tree cover should be included.</w:t>
            </w:r>
          </w:p>
          <w:p w14:paraId="3DB0320F" w14:textId="671C3F19" w:rsidR="5D0333FE" w:rsidRPr="004E2C40" w:rsidRDefault="5D0333FE" w:rsidP="5D0333FE">
            <w:pPr>
              <w:keepLines/>
              <w:spacing w:before="40" w:after="40" w:line="190" w:lineRule="exact"/>
              <w:rPr>
                <w:b/>
                <w:bCs/>
                <w:sz w:val="20"/>
                <w:szCs w:val="20"/>
              </w:rPr>
            </w:pPr>
          </w:p>
          <w:p w14:paraId="264A19C7" w14:textId="5A4EB9B1" w:rsidR="645629FB" w:rsidRPr="004E2C40" w:rsidRDefault="645629FB" w:rsidP="5D0333FE">
            <w:pPr>
              <w:keepLines/>
              <w:spacing w:before="40" w:after="40" w:line="190" w:lineRule="exact"/>
              <w:rPr>
                <w:b/>
                <w:bCs/>
                <w:color w:val="4472C4" w:themeColor="accent1"/>
                <w:sz w:val="20"/>
                <w:szCs w:val="20"/>
              </w:rPr>
            </w:pPr>
            <w:r w:rsidRPr="004E2C40">
              <w:rPr>
                <w:b/>
                <w:bCs/>
                <w:color w:val="4472C4" w:themeColor="accent1"/>
                <w:sz w:val="20"/>
                <w:szCs w:val="20"/>
              </w:rPr>
              <w:t>Revised Text:</w:t>
            </w:r>
          </w:p>
          <w:p w14:paraId="1EF57299" w14:textId="6F9B36CD" w:rsidR="645629FB" w:rsidRPr="004E2C40" w:rsidRDefault="645629FB" w:rsidP="5D0333FE">
            <w:pPr>
              <w:keepLines/>
              <w:spacing w:before="40" w:after="40" w:line="190" w:lineRule="exact"/>
              <w:rPr>
                <w:b/>
                <w:bCs/>
                <w:color w:val="4472C4" w:themeColor="accent1"/>
                <w:sz w:val="20"/>
                <w:szCs w:val="20"/>
              </w:rPr>
            </w:pPr>
            <w:r w:rsidRPr="004E2C40">
              <w:rPr>
                <w:b/>
                <w:bCs/>
                <w:color w:val="4472C4" w:themeColor="accent1"/>
                <w:sz w:val="20"/>
                <w:szCs w:val="20"/>
              </w:rPr>
              <w:t>CDM T</w:t>
            </w:r>
            <w:r w:rsidR="00951714" w:rsidRPr="004E2C40">
              <w:rPr>
                <w:b/>
                <w:bCs/>
                <w:color w:val="4472C4" w:themeColor="accent1"/>
                <w:sz w:val="20"/>
                <w:szCs w:val="20"/>
              </w:rPr>
              <w:t>OOL</w:t>
            </w:r>
            <w:r w:rsidRPr="004E2C40">
              <w:rPr>
                <w:b/>
                <w:bCs/>
                <w:color w:val="4472C4" w:themeColor="accent1"/>
                <w:sz w:val="20"/>
                <w:szCs w:val="20"/>
              </w:rPr>
              <w:t>30 mandates the use of the most recent available data, with a cutoff no earlier than the year 2000. The tool offers three primary options for sourcing tree cover data: the FAO Forest Resources Assessment, official statistics, and survey data. While the first two options lack spatial explicitness, the survey data option can include remote sensing surveys that allow for spatial analysis using tree cover data, such as the data published by Hansen. Hansen's data encompasses all tree cover regardless of land cover class, thereby including trees located outside of traditional forested areas.</w:t>
            </w:r>
          </w:p>
          <w:p w14:paraId="44258E1E" w14:textId="177799A5" w:rsidR="5D0333FE" w:rsidRPr="004E2C40" w:rsidRDefault="5D0333FE" w:rsidP="5D0333FE">
            <w:pPr>
              <w:keepLines/>
              <w:spacing w:before="40" w:after="40" w:line="190" w:lineRule="exact"/>
              <w:rPr>
                <w:b/>
                <w:bCs/>
                <w:sz w:val="20"/>
                <w:szCs w:val="20"/>
              </w:rPr>
            </w:pPr>
          </w:p>
          <w:p w14:paraId="02F9B32C" w14:textId="103490B6" w:rsidR="07F4AF5B" w:rsidRPr="004E2C40" w:rsidRDefault="645629FB" w:rsidP="07F4AF5B">
            <w:pPr>
              <w:keepLines/>
              <w:spacing w:before="40" w:after="40" w:line="190" w:lineRule="exact"/>
              <w:rPr>
                <w:sz w:val="20"/>
                <w:szCs w:val="20"/>
              </w:rPr>
            </w:pPr>
            <w:r w:rsidRPr="004E2C40">
              <w:rPr>
                <w:b/>
                <w:bCs/>
                <w:sz w:val="20"/>
                <w:szCs w:val="20"/>
              </w:rPr>
              <w:t>If the</w:t>
            </w:r>
            <w:r w:rsidR="00216CB3" w:rsidRPr="004E2C40">
              <w:rPr>
                <w:b/>
                <w:bCs/>
                <w:sz w:val="20"/>
                <w:szCs w:val="20"/>
              </w:rPr>
              <w:t xml:space="preserve"> authors of the CDM-MP92-A07</w:t>
            </w:r>
            <w:r w:rsidRPr="004E2C40">
              <w:rPr>
                <w:b/>
                <w:bCs/>
                <w:sz w:val="20"/>
                <w:szCs w:val="20"/>
              </w:rPr>
              <w:t xml:space="preserve"> </w:t>
            </w:r>
            <w:r w:rsidR="00216CB3" w:rsidRPr="004E2C40">
              <w:rPr>
                <w:b/>
                <w:bCs/>
                <w:sz w:val="20"/>
                <w:szCs w:val="20"/>
              </w:rPr>
              <w:t xml:space="preserve">Information Note </w:t>
            </w:r>
            <w:r w:rsidRPr="004E2C40">
              <w:rPr>
                <w:b/>
                <w:bCs/>
                <w:sz w:val="20"/>
                <w:szCs w:val="20"/>
              </w:rPr>
              <w:t>still perceive this as a limitation of CDM T</w:t>
            </w:r>
            <w:r w:rsidR="00951714" w:rsidRPr="004E2C40">
              <w:rPr>
                <w:b/>
                <w:bCs/>
                <w:sz w:val="20"/>
                <w:szCs w:val="20"/>
              </w:rPr>
              <w:t>OOL</w:t>
            </w:r>
            <w:r w:rsidRPr="004E2C40">
              <w:rPr>
                <w:b/>
                <w:bCs/>
                <w:sz w:val="20"/>
                <w:szCs w:val="20"/>
              </w:rPr>
              <w:t>30 even after the necessary corrections have been made, it would be essential to provide a more detailed explanation of the perceived limitation, or alternatively, consider the removal of the paragraphs in question.</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4CFE1422" w14:textId="4948DB8B" w:rsidR="07F4AF5B" w:rsidRPr="004E2C40" w:rsidRDefault="07F4AF5B" w:rsidP="07F4AF5B">
            <w:pPr>
              <w:spacing w:line="190" w:lineRule="exact"/>
              <w:jc w:val="center"/>
              <w:rPr>
                <w:b/>
                <w:bCs/>
                <w:sz w:val="20"/>
                <w:szCs w:val="20"/>
              </w:rPr>
            </w:pPr>
          </w:p>
        </w:tc>
      </w:tr>
      <w:tr w:rsidR="00863150" w:rsidRPr="004E2C40" w14:paraId="7BCB2812"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630BE0CC" w14:textId="2D83839C" w:rsidR="00863150" w:rsidRPr="004E2C40" w:rsidRDefault="00311699">
            <w:pPr>
              <w:keepLines/>
              <w:spacing w:before="40" w:after="40" w:line="190" w:lineRule="exact"/>
              <w:jc w:val="center"/>
              <w:rPr>
                <w:b/>
                <w:bCs/>
                <w:sz w:val="20"/>
                <w:szCs w:val="20"/>
              </w:rPr>
            </w:pPr>
            <w:r w:rsidRPr="004E2C40">
              <w:rPr>
                <w:b/>
                <w:bCs/>
                <w:sz w:val="20"/>
                <w:szCs w:val="20"/>
              </w:rPr>
              <w:t>3</w:t>
            </w:r>
          </w:p>
        </w:tc>
        <w:tc>
          <w:tcPr>
            <w:tcW w:w="2272" w:type="dxa"/>
            <w:gridSpan w:val="2"/>
            <w:tcBorders>
              <w:top w:val="single" w:sz="6" w:space="0" w:color="auto"/>
              <w:left w:val="single" w:sz="6" w:space="0" w:color="auto"/>
              <w:bottom w:val="single" w:sz="6" w:space="0" w:color="auto"/>
              <w:right w:val="single" w:sz="6" w:space="0" w:color="auto"/>
            </w:tcBorders>
          </w:tcPr>
          <w:p w14:paraId="4AA14AFB" w14:textId="14CC5EBA" w:rsidR="1AED2C1E" w:rsidRPr="004E2C40" w:rsidRDefault="1AED2C1E" w:rsidP="5D0333FE">
            <w:pPr>
              <w:spacing w:line="190" w:lineRule="exact"/>
              <w:jc w:val="center"/>
              <w:rPr>
                <w:b/>
                <w:bCs/>
                <w:sz w:val="20"/>
                <w:szCs w:val="20"/>
              </w:rPr>
            </w:pPr>
            <w:r w:rsidRPr="004E2C40">
              <w:rPr>
                <w:b/>
                <w:bCs/>
                <w:sz w:val="20"/>
                <w:szCs w:val="20"/>
              </w:rPr>
              <w:t>Proposed changes to TOOL30</w:t>
            </w:r>
          </w:p>
          <w:p w14:paraId="33341468" w14:textId="6DFF5EE6" w:rsidR="1AED2C1E" w:rsidRPr="004E2C40" w:rsidRDefault="1AED2C1E" w:rsidP="5D0333FE">
            <w:pPr>
              <w:spacing w:line="190" w:lineRule="exact"/>
              <w:jc w:val="center"/>
              <w:rPr>
                <w:b/>
                <w:bCs/>
                <w:sz w:val="20"/>
                <w:szCs w:val="20"/>
              </w:rPr>
            </w:pPr>
            <w:r w:rsidRPr="004E2C40">
              <w:rPr>
                <w:b/>
                <w:bCs/>
                <w:sz w:val="20"/>
                <w:szCs w:val="20"/>
              </w:rPr>
              <w:t>Pg 49</w:t>
            </w:r>
          </w:p>
          <w:p w14:paraId="6C67A075" w14:textId="0EA4EC2A" w:rsidR="07F4AF5B" w:rsidRPr="004E2C40" w:rsidRDefault="07F4AF5B" w:rsidP="07F4AF5B">
            <w:pPr>
              <w:spacing w:line="190" w:lineRule="exact"/>
              <w:jc w:val="center"/>
              <w:rPr>
                <w:b/>
                <w:bCs/>
                <w:sz w:val="20"/>
                <w:szCs w:val="20"/>
                <w:highlight w:val="yellow"/>
              </w:rPr>
            </w:pPr>
          </w:p>
        </w:tc>
        <w:tc>
          <w:tcPr>
            <w:tcW w:w="966" w:type="dxa"/>
            <w:tcBorders>
              <w:top w:val="single" w:sz="6" w:space="0" w:color="auto"/>
              <w:left w:val="single" w:sz="6" w:space="0" w:color="auto"/>
              <w:bottom w:val="single" w:sz="6" w:space="0" w:color="auto"/>
              <w:right w:val="single" w:sz="6" w:space="0" w:color="auto"/>
            </w:tcBorders>
          </w:tcPr>
          <w:p w14:paraId="25C0D8E1" w14:textId="34C6A326" w:rsidR="07F4AF5B" w:rsidRPr="004E2C40" w:rsidRDefault="1AED2C1E" w:rsidP="07F4AF5B">
            <w:pPr>
              <w:spacing w:line="190" w:lineRule="exact"/>
              <w:jc w:val="center"/>
              <w:rPr>
                <w:b/>
                <w:sz w:val="20"/>
                <w:szCs w:val="20"/>
              </w:rPr>
            </w:pPr>
            <w:r w:rsidRPr="004E2C40">
              <w:rPr>
                <w:b/>
                <w:bCs/>
                <w:sz w:val="20"/>
                <w:szCs w:val="20"/>
              </w:rPr>
              <w:t>Second paragraph</w:t>
            </w:r>
          </w:p>
        </w:tc>
        <w:tc>
          <w:tcPr>
            <w:tcW w:w="938" w:type="dxa"/>
            <w:tcBorders>
              <w:top w:val="single" w:sz="6" w:space="0" w:color="auto"/>
              <w:left w:val="single" w:sz="6" w:space="0" w:color="auto"/>
              <w:bottom w:val="single" w:sz="6" w:space="0" w:color="auto"/>
              <w:right w:val="single" w:sz="6" w:space="0" w:color="auto"/>
            </w:tcBorders>
          </w:tcPr>
          <w:p w14:paraId="103ABC10" w14:textId="294550C3" w:rsidR="00863150" w:rsidRPr="004E2C40" w:rsidRDefault="147EC07F">
            <w:pPr>
              <w:keepLines/>
              <w:spacing w:before="40" w:after="40" w:line="190" w:lineRule="exact"/>
              <w:jc w:val="center"/>
              <w:rPr>
                <w:b/>
                <w:bCs/>
                <w:sz w:val="20"/>
                <w:szCs w:val="20"/>
              </w:rPr>
            </w:pPr>
            <w:proofErr w:type="spellStart"/>
            <w:r w:rsidRPr="004E2C40">
              <w:rPr>
                <w:b/>
                <w:bCs/>
                <w:sz w:val="20"/>
                <w:szCs w:val="20"/>
              </w:rPr>
              <w:t>ge</w:t>
            </w:r>
            <w:proofErr w:type="spellEnd"/>
          </w:p>
        </w:tc>
        <w:tc>
          <w:tcPr>
            <w:tcW w:w="4444" w:type="dxa"/>
            <w:tcBorders>
              <w:top w:val="single" w:sz="6" w:space="0" w:color="auto"/>
              <w:left w:val="single" w:sz="6" w:space="0" w:color="auto"/>
              <w:bottom w:val="single" w:sz="6" w:space="0" w:color="auto"/>
              <w:right w:val="single" w:sz="6" w:space="0" w:color="auto"/>
            </w:tcBorders>
          </w:tcPr>
          <w:p w14:paraId="25785560" w14:textId="0923735F" w:rsidR="00863150" w:rsidRPr="004E2C40" w:rsidRDefault="0E38DF86" w:rsidP="5D0333FE">
            <w:pPr>
              <w:keepLines/>
              <w:spacing w:before="40" w:after="40" w:line="190" w:lineRule="exact"/>
              <w:rPr>
                <w:b/>
                <w:bCs/>
                <w:sz w:val="20"/>
                <w:szCs w:val="20"/>
              </w:rPr>
            </w:pPr>
            <w:r w:rsidRPr="004E2C40">
              <w:rPr>
                <w:b/>
                <w:bCs/>
                <w:sz w:val="20"/>
                <w:szCs w:val="20"/>
              </w:rPr>
              <w:t>CDM T</w:t>
            </w:r>
            <w:r w:rsidR="00FE1BEF" w:rsidRPr="004E2C40">
              <w:rPr>
                <w:b/>
                <w:bCs/>
                <w:sz w:val="20"/>
                <w:szCs w:val="20"/>
              </w:rPr>
              <w:t>OOL</w:t>
            </w:r>
            <w:r w:rsidRPr="004E2C40">
              <w:rPr>
                <w:b/>
                <w:bCs/>
                <w:sz w:val="20"/>
                <w:szCs w:val="20"/>
              </w:rPr>
              <w:t>30 v4.0 serves as a guideline for determining fNRB, offering flexibility for the integration of various methods and techniques to accommodate specific nuances. It is an adaptable tool open to justifiable amendments.</w:t>
            </w:r>
          </w:p>
          <w:p w14:paraId="7836E128" w14:textId="13BF3155" w:rsidR="00863150" w:rsidRPr="004E2C40" w:rsidRDefault="00863150" w:rsidP="07F4AF5B">
            <w:pPr>
              <w:keepLines/>
              <w:spacing w:before="40" w:after="40" w:line="190" w:lineRule="exact"/>
              <w:rPr>
                <w:b/>
                <w:bCs/>
                <w:sz w:val="20"/>
                <w:szCs w:val="20"/>
              </w:rPr>
            </w:pPr>
          </w:p>
          <w:p w14:paraId="2BCCB998" w14:textId="4C85211C" w:rsidR="00863150" w:rsidRPr="004E2C40" w:rsidRDefault="0E38DF86" w:rsidP="5D0333FE">
            <w:pPr>
              <w:keepLines/>
              <w:spacing w:before="40" w:after="40" w:line="190" w:lineRule="exact"/>
              <w:rPr>
                <w:b/>
                <w:bCs/>
                <w:sz w:val="20"/>
                <w:szCs w:val="20"/>
              </w:rPr>
            </w:pPr>
            <w:r w:rsidRPr="004E2C40">
              <w:rPr>
                <w:b/>
                <w:bCs/>
                <w:sz w:val="20"/>
                <w:szCs w:val="20"/>
              </w:rPr>
              <w:t xml:space="preserve">For example, the assertion that the tool lacks clear guidance regarding the choice of age-weighted growth rates for the IPCC's Refinement of the 2006 Guidelines for National Greenhouse Gas Inventories </w:t>
            </w:r>
            <w:r w:rsidRPr="004E2C40">
              <w:rPr>
                <w:b/>
                <w:bCs/>
                <w:sz w:val="20"/>
                <w:szCs w:val="20"/>
              </w:rPr>
              <w:lastRenderedPageBreak/>
              <w:t>warrants consideration. The IPCC provides growth rates for trees both below and above 20 years of age, including those in primary forests. These age-weighted growth rates can exhibit significant differences, emphasizing the importance of selecting the appropriate growth rate.</w:t>
            </w:r>
          </w:p>
          <w:p w14:paraId="66E2D72A" w14:textId="6FA78BBB" w:rsidR="00863150" w:rsidRPr="004E2C40" w:rsidRDefault="00863150" w:rsidP="07F4AF5B">
            <w:pPr>
              <w:keepLines/>
              <w:spacing w:before="40" w:after="40" w:line="190" w:lineRule="exact"/>
              <w:rPr>
                <w:b/>
                <w:bCs/>
                <w:sz w:val="20"/>
                <w:szCs w:val="20"/>
              </w:rPr>
            </w:pPr>
          </w:p>
          <w:p w14:paraId="384D660A" w14:textId="6E0EDE29" w:rsidR="00863150" w:rsidRPr="004E2C40" w:rsidRDefault="0DD9FAFE" w:rsidP="07F4AF5B">
            <w:pPr>
              <w:keepLines/>
              <w:spacing w:before="40" w:after="40" w:line="190" w:lineRule="exact"/>
              <w:rPr>
                <w:sz w:val="20"/>
                <w:szCs w:val="20"/>
              </w:rPr>
            </w:pPr>
            <w:r w:rsidRPr="004E2C40">
              <w:rPr>
                <w:b/>
                <w:bCs/>
                <w:sz w:val="20"/>
                <w:szCs w:val="20"/>
              </w:rPr>
              <w:t xml:space="preserve">However, </w:t>
            </w:r>
            <w:r w:rsidR="007E12D6" w:rsidRPr="004E2C40">
              <w:rPr>
                <w:b/>
                <w:bCs/>
                <w:sz w:val="20"/>
                <w:szCs w:val="20"/>
              </w:rPr>
              <w:t xml:space="preserve">the CDM TOOL30-based methodology we </w:t>
            </w:r>
            <w:r w:rsidR="009B1395" w:rsidRPr="004E2C40">
              <w:rPr>
                <w:b/>
                <w:bCs/>
                <w:sz w:val="20"/>
                <w:szCs w:val="20"/>
              </w:rPr>
              <w:t>rely on</w:t>
            </w:r>
            <w:r w:rsidR="007E12D6" w:rsidRPr="004E2C40">
              <w:rPr>
                <w:b/>
                <w:bCs/>
                <w:sz w:val="20"/>
                <w:szCs w:val="20"/>
              </w:rPr>
              <w:t xml:space="preserve"> to determine </w:t>
            </w:r>
            <w:r w:rsidR="00DC415A" w:rsidRPr="004E2C40">
              <w:rPr>
                <w:b/>
                <w:bCs/>
                <w:sz w:val="20"/>
                <w:szCs w:val="20"/>
              </w:rPr>
              <w:t xml:space="preserve">fNRB values </w:t>
            </w:r>
            <w:r w:rsidR="0E38DF86" w:rsidRPr="004E2C40">
              <w:rPr>
                <w:b/>
                <w:bCs/>
                <w:sz w:val="20"/>
                <w:szCs w:val="20"/>
              </w:rPr>
              <w:t>employ</w:t>
            </w:r>
            <w:r w:rsidR="00BC6DA1" w:rsidRPr="004E2C40">
              <w:rPr>
                <w:b/>
                <w:bCs/>
                <w:sz w:val="20"/>
                <w:szCs w:val="20"/>
              </w:rPr>
              <w:t xml:space="preserve"> </w:t>
            </w:r>
            <w:r w:rsidRPr="004E2C40">
              <w:rPr>
                <w:b/>
                <w:bCs/>
                <w:sz w:val="20"/>
                <w:szCs w:val="20"/>
              </w:rPr>
              <w:t>Hansen tree cover, primary cover</w:t>
            </w:r>
            <w:r w:rsidR="0E38DF86" w:rsidRPr="004E2C40">
              <w:rPr>
                <w:b/>
                <w:bCs/>
                <w:sz w:val="20"/>
                <w:szCs w:val="20"/>
              </w:rPr>
              <w:t>,</w:t>
            </w:r>
            <w:r w:rsidRPr="004E2C40">
              <w:rPr>
                <w:b/>
                <w:bCs/>
                <w:sz w:val="20"/>
                <w:szCs w:val="20"/>
              </w:rPr>
              <w:t xml:space="preserve"> and tree cover gain data to estimate the </w:t>
            </w:r>
            <w:r w:rsidR="0E38DF86" w:rsidRPr="004E2C40">
              <w:rPr>
                <w:b/>
                <w:bCs/>
                <w:sz w:val="20"/>
                <w:szCs w:val="20"/>
              </w:rPr>
              <w:t>proportion of stands</w:t>
            </w:r>
            <w:r w:rsidRPr="004E2C40">
              <w:rPr>
                <w:b/>
                <w:bCs/>
                <w:sz w:val="20"/>
                <w:szCs w:val="20"/>
              </w:rPr>
              <w:t xml:space="preserve"> aged above and below </w:t>
            </w:r>
            <w:r w:rsidR="59310502" w:rsidRPr="004E2C40">
              <w:rPr>
                <w:b/>
                <w:bCs/>
                <w:sz w:val="20"/>
                <w:szCs w:val="20"/>
              </w:rPr>
              <w:t>20 years</w:t>
            </w:r>
            <w:r w:rsidR="0E38DF86" w:rsidRPr="004E2C40">
              <w:rPr>
                <w:b/>
                <w:bCs/>
                <w:sz w:val="20"/>
                <w:szCs w:val="20"/>
              </w:rPr>
              <w:t xml:space="preserve"> and </w:t>
            </w:r>
            <w:r w:rsidR="59310502" w:rsidRPr="004E2C40">
              <w:rPr>
                <w:b/>
                <w:bCs/>
                <w:sz w:val="20"/>
                <w:szCs w:val="20"/>
              </w:rPr>
              <w:t>primary</w:t>
            </w:r>
            <w:r w:rsidR="0E38DF86" w:rsidRPr="004E2C40">
              <w:rPr>
                <w:b/>
                <w:bCs/>
                <w:sz w:val="20"/>
                <w:szCs w:val="20"/>
              </w:rPr>
              <w:t xml:space="preserve"> stands. This approach enables the use of specific growth rates corresponding to the age of the stand in question.</w:t>
            </w:r>
          </w:p>
        </w:tc>
        <w:tc>
          <w:tcPr>
            <w:tcW w:w="3971" w:type="dxa"/>
            <w:tcBorders>
              <w:top w:val="single" w:sz="6" w:space="0" w:color="auto"/>
              <w:left w:val="single" w:sz="6" w:space="0" w:color="auto"/>
              <w:bottom w:val="single" w:sz="6" w:space="0" w:color="auto"/>
              <w:right w:val="single" w:sz="6" w:space="0" w:color="auto"/>
            </w:tcBorders>
          </w:tcPr>
          <w:p w14:paraId="7C31AE4C" w14:textId="171356B7" w:rsidR="00863150" w:rsidRPr="004E2C40" w:rsidRDefault="443DFA7A" w:rsidP="5D0333FE">
            <w:pPr>
              <w:keepLines/>
              <w:spacing w:before="40" w:after="40" w:line="190" w:lineRule="exact"/>
              <w:rPr>
                <w:b/>
                <w:bCs/>
                <w:sz w:val="20"/>
                <w:szCs w:val="20"/>
              </w:rPr>
            </w:pPr>
            <w:r w:rsidRPr="004E2C40">
              <w:rPr>
                <w:b/>
                <w:bCs/>
                <w:sz w:val="20"/>
                <w:szCs w:val="20"/>
              </w:rPr>
              <w:lastRenderedPageBreak/>
              <w:t>The passages describing these aspects of CDM T</w:t>
            </w:r>
            <w:r w:rsidR="00E3232E" w:rsidRPr="004E2C40">
              <w:rPr>
                <w:b/>
                <w:bCs/>
                <w:sz w:val="20"/>
                <w:szCs w:val="20"/>
              </w:rPr>
              <w:t>OOL</w:t>
            </w:r>
            <w:r w:rsidRPr="004E2C40">
              <w:rPr>
                <w:b/>
                <w:bCs/>
                <w:sz w:val="20"/>
                <w:szCs w:val="20"/>
              </w:rPr>
              <w:t>30 require correction. An accurate depiction of the guidelines outlined by the tool and its capacity to accommodate nuances related to tree cover should be included.</w:t>
            </w:r>
            <w:r w:rsidR="438EF6B8" w:rsidRPr="004E2C40">
              <w:rPr>
                <w:b/>
                <w:bCs/>
                <w:sz w:val="20"/>
                <w:szCs w:val="20"/>
              </w:rPr>
              <w:t xml:space="preserve"> </w:t>
            </w:r>
          </w:p>
          <w:p w14:paraId="69A00A1C" w14:textId="686572A2" w:rsidR="00863150" w:rsidRPr="004E2C40" w:rsidRDefault="00863150" w:rsidP="5D0333FE">
            <w:pPr>
              <w:keepLines/>
              <w:spacing w:before="40" w:after="40" w:line="190" w:lineRule="exact"/>
              <w:rPr>
                <w:b/>
                <w:bCs/>
                <w:sz w:val="20"/>
                <w:szCs w:val="20"/>
              </w:rPr>
            </w:pPr>
          </w:p>
          <w:p w14:paraId="03AB2BC6" w14:textId="3DEF14B2" w:rsidR="00863150" w:rsidRPr="004E2C40" w:rsidRDefault="3B73B3AB" w:rsidP="5D0333FE">
            <w:pPr>
              <w:keepLines/>
              <w:spacing w:before="40" w:after="40" w:line="190" w:lineRule="exact"/>
              <w:rPr>
                <w:b/>
                <w:bCs/>
                <w:color w:val="4472C4" w:themeColor="accent1"/>
                <w:sz w:val="20"/>
                <w:szCs w:val="20"/>
              </w:rPr>
            </w:pPr>
            <w:r w:rsidRPr="004E2C40">
              <w:rPr>
                <w:b/>
                <w:bCs/>
                <w:color w:val="4472C4" w:themeColor="accent1"/>
                <w:sz w:val="20"/>
                <w:szCs w:val="20"/>
              </w:rPr>
              <w:t>P</w:t>
            </w:r>
            <w:r w:rsidR="52FDDC7C" w:rsidRPr="004E2C40">
              <w:rPr>
                <w:b/>
                <w:bCs/>
                <w:color w:val="4472C4" w:themeColor="accent1"/>
                <w:sz w:val="20"/>
                <w:szCs w:val="20"/>
              </w:rPr>
              <w:t>roposed text</w:t>
            </w:r>
            <w:r w:rsidR="7CFB7866" w:rsidRPr="004E2C40">
              <w:rPr>
                <w:b/>
                <w:bCs/>
                <w:color w:val="4472C4" w:themeColor="accent1"/>
                <w:sz w:val="20"/>
                <w:szCs w:val="20"/>
              </w:rPr>
              <w:t>:</w:t>
            </w:r>
          </w:p>
          <w:p w14:paraId="1D20CB13" w14:textId="3E0EA9C1" w:rsidR="00863150" w:rsidRPr="004E2C40" w:rsidRDefault="4BD4A6B2" w:rsidP="5D0333FE">
            <w:pPr>
              <w:keepLines/>
              <w:spacing w:before="40" w:after="40" w:line="190" w:lineRule="exact"/>
              <w:rPr>
                <w:b/>
                <w:bCs/>
                <w:color w:val="4472C4" w:themeColor="accent1"/>
                <w:sz w:val="20"/>
                <w:szCs w:val="20"/>
              </w:rPr>
            </w:pPr>
            <w:r w:rsidRPr="004E2C40">
              <w:rPr>
                <w:b/>
                <w:bCs/>
                <w:color w:val="4472C4" w:themeColor="accent1"/>
                <w:sz w:val="20"/>
                <w:szCs w:val="20"/>
              </w:rPr>
              <w:t xml:space="preserve">It is possible to estimate the proportion of trees aging above and below 20 years, as well as the proportion </w:t>
            </w:r>
            <w:r w:rsidRPr="004E2C40">
              <w:rPr>
                <w:b/>
                <w:bCs/>
                <w:color w:val="4472C4" w:themeColor="accent1"/>
                <w:sz w:val="20"/>
                <w:szCs w:val="20"/>
              </w:rPr>
              <w:lastRenderedPageBreak/>
              <w:t>representing primary forest, using the Hansen tree cover dataset. By utilizing the total tree cover, primary tree cover, and tree cover gain data, one can ascertain the percentage of trees falling within the younger and older than 20-year age categories. Subsequently, the appropriate age-weighted growth rate can be applied to each respective portion of the forest stand to which it corresponds.</w:t>
            </w:r>
          </w:p>
          <w:p w14:paraId="2AE45170" w14:textId="03ECF8BD" w:rsidR="00863150" w:rsidRPr="004E2C40" w:rsidRDefault="00863150" w:rsidP="5D0333FE">
            <w:pPr>
              <w:keepLines/>
              <w:spacing w:before="40" w:after="40" w:line="190" w:lineRule="exact"/>
              <w:rPr>
                <w:b/>
                <w:bCs/>
                <w:sz w:val="20"/>
                <w:szCs w:val="20"/>
              </w:rPr>
            </w:pPr>
          </w:p>
          <w:p w14:paraId="0C505844" w14:textId="3F128BF7" w:rsidR="00863150" w:rsidRPr="004E2C40" w:rsidRDefault="4BD4A6B2" w:rsidP="07F4AF5B">
            <w:pPr>
              <w:keepLines/>
              <w:spacing w:before="40" w:after="40" w:line="190" w:lineRule="exact"/>
              <w:rPr>
                <w:sz w:val="20"/>
                <w:szCs w:val="20"/>
              </w:rPr>
            </w:pPr>
            <w:r w:rsidRPr="004E2C40">
              <w:rPr>
                <w:b/>
                <w:bCs/>
                <w:sz w:val="20"/>
                <w:szCs w:val="20"/>
              </w:rPr>
              <w:t xml:space="preserve">If </w:t>
            </w:r>
            <w:r w:rsidR="00216CB3" w:rsidRPr="004E2C40">
              <w:rPr>
                <w:b/>
                <w:bCs/>
                <w:sz w:val="20"/>
                <w:szCs w:val="20"/>
              </w:rPr>
              <w:t xml:space="preserve">the authors of the CDM-MP92-A07 Information Note </w:t>
            </w:r>
            <w:r w:rsidRPr="004E2C40">
              <w:rPr>
                <w:b/>
                <w:bCs/>
                <w:sz w:val="20"/>
                <w:szCs w:val="20"/>
              </w:rPr>
              <w:t>still perceive this as a limitation of CDM T</w:t>
            </w:r>
            <w:r w:rsidR="00216CB3" w:rsidRPr="004E2C40">
              <w:rPr>
                <w:b/>
                <w:bCs/>
                <w:sz w:val="20"/>
                <w:szCs w:val="20"/>
              </w:rPr>
              <w:t>OOL</w:t>
            </w:r>
            <w:r w:rsidRPr="004E2C40">
              <w:rPr>
                <w:b/>
                <w:bCs/>
                <w:sz w:val="20"/>
                <w:szCs w:val="20"/>
              </w:rPr>
              <w:t>30 even after the necessary corrections have been made, it would be essential to provide a more detailed explanation of the perceived limitation, or alternatively, consider the removal of the paragraphs in question.</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0156D8E3" w14:textId="77777777" w:rsidR="00863150" w:rsidRPr="004E2C40" w:rsidRDefault="00863150">
            <w:pPr>
              <w:keepLines/>
              <w:spacing w:before="40" w:after="40" w:line="190" w:lineRule="exact"/>
              <w:jc w:val="center"/>
              <w:rPr>
                <w:b/>
                <w:bCs/>
                <w:sz w:val="20"/>
                <w:szCs w:val="20"/>
              </w:rPr>
            </w:pPr>
          </w:p>
        </w:tc>
      </w:tr>
      <w:tr w:rsidR="07F4AF5B" w:rsidRPr="004E2C40" w14:paraId="3DDEC0B8"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04A464B8" w14:textId="295CC4ED" w:rsidR="07F4AF5B" w:rsidRPr="004E2C40" w:rsidRDefault="00311699" w:rsidP="07F4AF5B">
            <w:pPr>
              <w:spacing w:line="190" w:lineRule="exact"/>
              <w:jc w:val="center"/>
              <w:rPr>
                <w:b/>
                <w:bCs/>
                <w:sz w:val="20"/>
                <w:szCs w:val="20"/>
              </w:rPr>
            </w:pPr>
            <w:r w:rsidRPr="004E2C40">
              <w:rPr>
                <w:b/>
                <w:bCs/>
                <w:sz w:val="20"/>
                <w:szCs w:val="20"/>
              </w:rPr>
              <w:lastRenderedPageBreak/>
              <w:t>4</w:t>
            </w:r>
          </w:p>
        </w:tc>
        <w:tc>
          <w:tcPr>
            <w:tcW w:w="1306" w:type="dxa"/>
            <w:tcBorders>
              <w:top w:val="single" w:sz="6" w:space="0" w:color="auto"/>
              <w:left w:val="single" w:sz="6" w:space="0" w:color="auto"/>
              <w:bottom w:val="single" w:sz="6" w:space="0" w:color="auto"/>
              <w:right w:val="single" w:sz="6" w:space="0" w:color="auto"/>
            </w:tcBorders>
          </w:tcPr>
          <w:p w14:paraId="726ED2C4" w14:textId="2FA650AB" w:rsidR="5D0333FE" w:rsidRPr="004E2C40" w:rsidRDefault="5D0333FE" w:rsidP="5D0333FE">
            <w:pPr>
              <w:keepLines/>
              <w:spacing w:before="40" w:after="40" w:line="190" w:lineRule="exact"/>
              <w:jc w:val="center"/>
              <w:rPr>
                <w:b/>
                <w:bCs/>
                <w:sz w:val="20"/>
                <w:szCs w:val="20"/>
              </w:rPr>
            </w:pPr>
            <w:r w:rsidRPr="004E2C40">
              <w:rPr>
                <w:b/>
                <w:bCs/>
                <w:sz w:val="20"/>
                <w:szCs w:val="20"/>
              </w:rPr>
              <w:t xml:space="preserve">Section 3.2 </w:t>
            </w:r>
          </w:p>
          <w:p w14:paraId="2785D76C" w14:textId="08837D51" w:rsidR="5D0333FE" w:rsidRPr="004E2C40" w:rsidRDefault="5D0333FE" w:rsidP="5D0333FE">
            <w:pPr>
              <w:keepLines/>
              <w:spacing w:before="40" w:after="40" w:line="190" w:lineRule="exact"/>
              <w:jc w:val="center"/>
              <w:rPr>
                <w:b/>
                <w:bCs/>
                <w:sz w:val="20"/>
                <w:szCs w:val="20"/>
              </w:rPr>
            </w:pPr>
            <w:r w:rsidRPr="004E2C40">
              <w:rPr>
                <w:b/>
                <w:bCs/>
                <w:sz w:val="20"/>
                <w:szCs w:val="20"/>
              </w:rPr>
              <w:t>Pg 4</w:t>
            </w:r>
          </w:p>
        </w:tc>
        <w:tc>
          <w:tcPr>
            <w:tcW w:w="966" w:type="dxa"/>
            <w:tcBorders>
              <w:top w:val="single" w:sz="6" w:space="0" w:color="auto"/>
              <w:left w:val="single" w:sz="6" w:space="0" w:color="auto"/>
              <w:bottom w:val="single" w:sz="6" w:space="0" w:color="auto"/>
              <w:right w:val="single" w:sz="6" w:space="0" w:color="auto"/>
            </w:tcBorders>
          </w:tcPr>
          <w:p w14:paraId="400AFEE7" w14:textId="3CD7CB6D" w:rsidR="5D0333FE" w:rsidRPr="004E2C40" w:rsidRDefault="5D0333FE" w:rsidP="5D0333FE">
            <w:pPr>
              <w:keepLines/>
              <w:spacing w:before="40" w:after="40" w:line="190" w:lineRule="exact"/>
              <w:jc w:val="center"/>
              <w:rPr>
                <w:b/>
                <w:bCs/>
                <w:sz w:val="20"/>
                <w:szCs w:val="20"/>
              </w:rPr>
            </w:pPr>
            <w:r w:rsidRPr="004E2C40">
              <w:rPr>
                <w:b/>
                <w:bCs/>
                <w:sz w:val="20"/>
                <w:szCs w:val="20"/>
              </w:rPr>
              <w:t>Line 11 point (</w:t>
            </w:r>
            <w:r w:rsidR="11D0601D" w:rsidRPr="004E2C40">
              <w:rPr>
                <w:b/>
                <w:bCs/>
                <w:sz w:val="20"/>
                <w:szCs w:val="20"/>
              </w:rPr>
              <w:t>c</w:t>
            </w:r>
            <w:r w:rsidRPr="004E2C40">
              <w:rPr>
                <w:b/>
                <w:bCs/>
                <w:sz w:val="20"/>
                <w:szCs w:val="20"/>
              </w:rPr>
              <w:t>)</w:t>
            </w:r>
          </w:p>
        </w:tc>
        <w:tc>
          <w:tcPr>
            <w:tcW w:w="1904" w:type="dxa"/>
            <w:gridSpan w:val="2"/>
            <w:tcBorders>
              <w:top w:val="single" w:sz="6" w:space="0" w:color="auto"/>
              <w:left w:val="single" w:sz="6" w:space="0" w:color="auto"/>
              <w:bottom w:val="single" w:sz="6" w:space="0" w:color="auto"/>
              <w:right w:val="single" w:sz="6" w:space="0" w:color="auto"/>
            </w:tcBorders>
          </w:tcPr>
          <w:p w14:paraId="09437AC7" w14:textId="4AF1CD85" w:rsidR="60613FBA" w:rsidRPr="004E2C40" w:rsidRDefault="60613FBA" w:rsidP="07F4AF5B">
            <w:pPr>
              <w:spacing w:line="190" w:lineRule="exact"/>
              <w:jc w:val="center"/>
              <w:rPr>
                <w:b/>
                <w:bCs/>
                <w:sz w:val="20"/>
                <w:szCs w:val="20"/>
              </w:rPr>
            </w:pPr>
            <w:proofErr w:type="spellStart"/>
            <w:r w:rsidRPr="004E2C40">
              <w:rPr>
                <w:b/>
                <w:bCs/>
                <w:sz w:val="20"/>
                <w:szCs w:val="20"/>
              </w:rPr>
              <w:t>ge</w:t>
            </w:r>
            <w:proofErr w:type="spellEnd"/>
          </w:p>
        </w:tc>
        <w:tc>
          <w:tcPr>
            <w:tcW w:w="4444" w:type="dxa"/>
            <w:tcBorders>
              <w:top w:val="single" w:sz="6" w:space="0" w:color="auto"/>
              <w:left w:val="single" w:sz="6" w:space="0" w:color="auto"/>
              <w:bottom w:val="single" w:sz="6" w:space="0" w:color="auto"/>
              <w:right w:val="single" w:sz="6" w:space="0" w:color="auto"/>
            </w:tcBorders>
          </w:tcPr>
          <w:p w14:paraId="3B6D1F7D" w14:textId="431CCBFB" w:rsidR="387931F6" w:rsidRPr="004E2C40" w:rsidRDefault="387931F6" w:rsidP="5D0333FE">
            <w:pPr>
              <w:keepLines/>
              <w:spacing w:before="40" w:after="40" w:line="190" w:lineRule="exact"/>
              <w:rPr>
                <w:b/>
                <w:bCs/>
                <w:sz w:val="20"/>
                <w:szCs w:val="20"/>
              </w:rPr>
            </w:pPr>
            <w:r w:rsidRPr="004E2C40">
              <w:rPr>
                <w:b/>
                <w:bCs/>
                <w:sz w:val="20"/>
                <w:szCs w:val="20"/>
              </w:rPr>
              <w:t xml:space="preserve">CDM </w:t>
            </w:r>
            <w:r w:rsidR="0061189A" w:rsidRPr="004E2C40">
              <w:rPr>
                <w:b/>
                <w:bCs/>
                <w:sz w:val="20"/>
                <w:szCs w:val="20"/>
              </w:rPr>
              <w:t>TOOL30</w:t>
            </w:r>
            <w:r w:rsidRPr="004E2C40">
              <w:rPr>
                <w:b/>
                <w:bCs/>
                <w:sz w:val="20"/>
                <w:szCs w:val="20"/>
              </w:rPr>
              <w:t xml:space="preserve"> v4.0 serves as a guideline for determining fNRB, offering flexibility for the integration of various methods and techniques to accommodate specific nuances. It is an adaptable tool open to justifiable amendments.</w:t>
            </w:r>
          </w:p>
          <w:p w14:paraId="1508EA18" w14:textId="5CE63371" w:rsidR="07F4AF5B" w:rsidRPr="004E2C40" w:rsidRDefault="07F4AF5B" w:rsidP="07F4AF5B">
            <w:pPr>
              <w:keepLines/>
              <w:spacing w:before="40" w:after="40" w:line="190" w:lineRule="exact"/>
              <w:rPr>
                <w:b/>
                <w:bCs/>
                <w:sz w:val="20"/>
                <w:szCs w:val="20"/>
              </w:rPr>
            </w:pPr>
          </w:p>
          <w:p w14:paraId="4DFC7546" w14:textId="0C4AEBE0" w:rsidR="646E861D" w:rsidRPr="004E2C40" w:rsidRDefault="646E861D" w:rsidP="5D0333FE">
            <w:pPr>
              <w:keepLines/>
              <w:spacing w:before="40" w:after="40" w:line="190" w:lineRule="exact"/>
              <w:rPr>
                <w:b/>
                <w:bCs/>
                <w:sz w:val="20"/>
                <w:szCs w:val="20"/>
              </w:rPr>
            </w:pPr>
            <w:r w:rsidRPr="004E2C40">
              <w:rPr>
                <w:b/>
                <w:bCs/>
                <w:sz w:val="20"/>
                <w:szCs w:val="20"/>
              </w:rPr>
              <w:t xml:space="preserve">For instance, the claim made by the </w:t>
            </w:r>
            <w:r w:rsidR="00DE434D" w:rsidRPr="004E2C40">
              <w:rPr>
                <w:b/>
                <w:bCs/>
                <w:sz w:val="20"/>
                <w:szCs w:val="20"/>
              </w:rPr>
              <w:t>Information Note (</w:t>
            </w:r>
            <w:r w:rsidR="00E70E45" w:rsidRPr="004E2C40">
              <w:rPr>
                <w:b/>
                <w:bCs/>
                <w:sz w:val="20"/>
                <w:szCs w:val="20"/>
              </w:rPr>
              <w:t>CDM-MP92-A07</w:t>
            </w:r>
            <w:r w:rsidR="00DE434D" w:rsidRPr="004E2C40">
              <w:rPr>
                <w:b/>
                <w:bCs/>
                <w:sz w:val="20"/>
                <w:szCs w:val="20"/>
              </w:rPr>
              <w:t>)</w:t>
            </w:r>
            <w:r w:rsidRPr="004E2C40">
              <w:rPr>
                <w:b/>
                <w:bCs/>
                <w:sz w:val="20"/>
                <w:szCs w:val="20"/>
              </w:rPr>
              <w:t xml:space="preserve"> that the CDM T</w:t>
            </w:r>
            <w:r w:rsidR="0061189A" w:rsidRPr="004E2C40">
              <w:rPr>
                <w:b/>
                <w:bCs/>
                <w:sz w:val="20"/>
                <w:szCs w:val="20"/>
              </w:rPr>
              <w:t>OOL30</w:t>
            </w:r>
            <w:r w:rsidRPr="004E2C40">
              <w:rPr>
                <w:b/>
                <w:bCs/>
                <w:sz w:val="20"/>
                <w:szCs w:val="20"/>
              </w:rPr>
              <w:t xml:space="preserve"> solely addresses accessibility by excluding protected areas from biomass supply consideration is inaccurate. The </w:t>
            </w:r>
            <w:r w:rsidR="004E2C40" w:rsidRPr="004E2C40">
              <w:rPr>
                <w:b/>
                <w:bCs/>
                <w:sz w:val="20"/>
                <w:szCs w:val="20"/>
              </w:rPr>
              <w:t>t</w:t>
            </w:r>
            <w:r w:rsidRPr="004E2C40">
              <w:rPr>
                <w:b/>
                <w:bCs/>
                <w:sz w:val="20"/>
                <w:szCs w:val="20"/>
              </w:rPr>
              <w:t>ool indeed encompasses and provides guidelines for defining geographically remote areas, considering factors like proximity to roads and rivers. This provision is explicitly stated on page 11 of CDM T</w:t>
            </w:r>
            <w:r w:rsidR="00356DD7" w:rsidRPr="004E2C40">
              <w:rPr>
                <w:b/>
                <w:bCs/>
                <w:sz w:val="20"/>
                <w:szCs w:val="20"/>
              </w:rPr>
              <w:t>OOL30</w:t>
            </w:r>
            <w:r w:rsidRPr="004E2C40">
              <w:rPr>
                <w:b/>
                <w:bCs/>
                <w:sz w:val="20"/>
                <w:szCs w:val="20"/>
              </w:rPr>
              <w:t xml:space="preserve"> v4.0:</w:t>
            </w:r>
          </w:p>
          <w:p w14:paraId="0B36CE43" w14:textId="1D479940" w:rsidR="5D0333FE" w:rsidRPr="004E2C40" w:rsidRDefault="5D0333FE" w:rsidP="5D0333FE">
            <w:pPr>
              <w:keepLines/>
              <w:spacing w:before="40" w:after="40" w:line="190" w:lineRule="exact"/>
              <w:rPr>
                <w:b/>
                <w:bCs/>
                <w:sz w:val="20"/>
                <w:szCs w:val="20"/>
              </w:rPr>
            </w:pPr>
          </w:p>
          <w:p w14:paraId="11DE2490" w14:textId="1AE5687E" w:rsidR="646E861D" w:rsidRPr="004E2C40" w:rsidRDefault="646E861D" w:rsidP="5D0333FE">
            <w:pPr>
              <w:keepLines/>
              <w:spacing w:before="40" w:after="40" w:line="190" w:lineRule="exact"/>
              <w:rPr>
                <w:sz w:val="20"/>
                <w:szCs w:val="20"/>
              </w:rPr>
            </w:pPr>
            <w:r w:rsidRPr="004E2C40">
              <w:rPr>
                <w:b/>
                <w:bCs/>
                <w:sz w:val="20"/>
                <w:szCs w:val="20"/>
              </w:rPr>
              <w:t xml:space="preserve">"To define geographically remote areas, DNAs/PPs may consider proximity to roads or rivers. For example, forests/other wooded lands that are beyond the average distance </w:t>
            </w:r>
            <w:r w:rsidR="4A278F1A" w:rsidRPr="004E2C40">
              <w:rPr>
                <w:b/>
                <w:bCs/>
                <w:sz w:val="20"/>
                <w:szCs w:val="20"/>
              </w:rPr>
              <w:t>travelled</w:t>
            </w:r>
            <w:r w:rsidRPr="004E2C40">
              <w:rPr>
                <w:b/>
                <w:bCs/>
                <w:sz w:val="20"/>
                <w:szCs w:val="20"/>
              </w:rPr>
              <w:t xml:space="preserve"> to collect fuelwood can be considered non-accessible. The information regarding the average travel distance may be sourced from national studies or peer-reviewed literature, or surveys in the project area. All areas accessible to either the forest industries or to individual households are considered accessible. Hence, wood extraction by the forest industries and fuelwood collection by individual households should both be </w:t>
            </w:r>
            <w:proofErr w:type="gramStart"/>
            <w:r w:rsidRPr="004E2C40">
              <w:rPr>
                <w:b/>
                <w:bCs/>
                <w:sz w:val="20"/>
                <w:szCs w:val="20"/>
              </w:rPr>
              <w:t>taken into account</w:t>
            </w:r>
            <w:proofErr w:type="gramEnd"/>
            <w:r w:rsidRPr="004E2C40">
              <w:rPr>
                <w:b/>
                <w:bCs/>
                <w:sz w:val="20"/>
                <w:szCs w:val="20"/>
              </w:rPr>
              <w:t xml:space="preserve"> when estimating 'non-accessible areas.'</w:t>
            </w:r>
          </w:p>
          <w:p w14:paraId="072B1F87" w14:textId="3C44F070" w:rsidR="5D0333FE" w:rsidRPr="004E2C40" w:rsidRDefault="5D0333FE" w:rsidP="5D0333FE">
            <w:pPr>
              <w:keepLines/>
              <w:spacing w:before="40" w:after="40" w:line="190" w:lineRule="exact"/>
              <w:rPr>
                <w:b/>
                <w:bCs/>
                <w:sz w:val="20"/>
                <w:szCs w:val="20"/>
              </w:rPr>
            </w:pPr>
          </w:p>
          <w:p w14:paraId="74329FF5" w14:textId="4113DF4D" w:rsidR="646E861D" w:rsidRPr="004E2C40" w:rsidRDefault="646E861D" w:rsidP="5D0333FE">
            <w:pPr>
              <w:keepLines/>
              <w:spacing w:before="40" w:after="40" w:line="190" w:lineRule="exact"/>
              <w:rPr>
                <w:sz w:val="20"/>
                <w:szCs w:val="20"/>
              </w:rPr>
            </w:pPr>
            <w:r w:rsidRPr="004E2C40">
              <w:rPr>
                <w:b/>
                <w:bCs/>
                <w:sz w:val="20"/>
                <w:szCs w:val="20"/>
              </w:rPr>
              <w:t xml:space="preserve">Furthermore, </w:t>
            </w:r>
            <w:r w:rsidR="002A4CA4" w:rsidRPr="004E2C40">
              <w:rPr>
                <w:b/>
                <w:bCs/>
                <w:sz w:val="20"/>
                <w:szCs w:val="20"/>
              </w:rPr>
              <w:t xml:space="preserve">the </w:t>
            </w:r>
            <w:proofErr w:type="spellStart"/>
            <w:r w:rsidR="006B4918" w:rsidRPr="004E2C40">
              <w:rPr>
                <w:b/>
                <w:bCs/>
                <w:sz w:val="20"/>
                <w:szCs w:val="20"/>
              </w:rPr>
              <w:t>the</w:t>
            </w:r>
            <w:proofErr w:type="spellEnd"/>
            <w:r w:rsidR="006B4918" w:rsidRPr="004E2C40">
              <w:rPr>
                <w:b/>
                <w:bCs/>
                <w:sz w:val="20"/>
                <w:szCs w:val="20"/>
              </w:rPr>
              <w:t xml:space="preserve"> CDM TOOL30-based methodology we </w:t>
            </w:r>
            <w:r w:rsidR="009B1395" w:rsidRPr="004E2C40">
              <w:rPr>
                <w:b/>
                <w:bCs/>
                <w:sz w:val="20"/>
                <w:szCs w:val="20"/>
              </w:rPr>
              <w:t>rely on</w:t>
            </w:r>
            <w:r w:rsidR="006B4918" w:rsidRPr="004E2C40">
              <w:rPr>
                <w:b/>
                <w:bCs/>
                <w:sz w:val="20"/>
                <w:szCs w:val="20"/>
              </w:rPr>
              <w:t xml:space="preserve"> to determine fNRB values</w:t>
            </w:r>
            <w:r w:rsidR="58E2ACF8" w:rsidRPr="004E2C40">
              <w:rPr>
                <w:b/>
                <w:bCs/>
                <w:sz w:val="20"/>
                <w:szCs w:val="20"/>
              </w:rPr>
              <w:t xml:space="preserve"> </w:t>
            </w:r>
            <w:r w:rsidRPr="004E2C40">
              <w:rPr>
                <w:b/>
                <w:bCs/>
                <w:sz w:val="20"/>
                <w:szCs w:val="20"/>
              </w:rPr>
              <w:t>appl</w:t>
            </w:r>
            <w:r w:rsidR="001D14E0" w:rsidRPr="004E2C40">
              <w:rPr>
                <w:b/>
                <w:bCs/>
                <w:sz w:val="20"/>
                <w:szCs w:val="20"/>
              </w:rPr>
              <w:t>ies</w:t>
            </w:r>
            <w:r w:rsidR="58E2ACF8" w:rsidRPr="004E2C40">
              <w:rPr>
                <w:b/>
                <w:bCs/>
                <w:sz w:val="20"/>
                <w:szCs w:val="20"/>
              </w:rPr>
              <w:t xml:space="preserve"> a </w:t>
            </w:r>
            <w:r w:rsidRPr="004E2C40">
              <w:rPr>
                <w:b/>
                <w:bCs/>
                <w:sz w:val="20"/>
                <w:szCs w:val="20"/>
              </w:rPr>
              <w:t xml:space="preserve">2.5 km </w:t>
            </w:r>
            <w:r w:rsidR="58E2ACF8" w:rsidRPr="004E2C40">
              <w:rPr>
                <w:b/>
                <w:bCs/>
                <w:sz w:val="20"/>
                <w:szCs w:val="20"/>
              </w:rPr>
              <w:t>distance buffer</w:t>
            </w:r>
            <w:r w:rsidRPr="004E2C40">
              <w:rPr>
                <w:b/>
                <w:bCs/>
                <w:sz w:val="20"/>
                <w:szCs w:val="20"/>
              </w:rPr>
              <w:t>,</w:t>
            </w:r>
            <w:r w:rsidR="56C92A19" w:rsidRPr="004E2C40">
              <w:rPr>
                <w:b/>
                <w:bCs/>
                <w:sz w:val="20"/>
                <w:szCs w:val="20"/>
              </w:rPr>
              <w:t xml:space="preserve"> determined from peer</w:t>
            </w:r>
            <w:r w:rsidRPr="004E2C40">
              <w:rPr>
                <w:b/>
                <w:bCs/>
                <w:sz w:val="20"/>
                <w:szCs w:val="20"/>
              </w:rPr>
              <w:t>-</w:t>
            </w:r>
            <w:r w:rsidR="56C92A19" w:rsidRPr="004E2C40">
              <w:rPr>
                <w:b/>
                <w:bCs/>
                <w:sz w:val="20"/>
                <w:szCs w:val="20"/>
              </w:rPr>
              <w:t>reviewed literature,</w:t>
            </w:r>
            <w:r w:rsidR="58E2ACF8" w:rsidRPr="004E2C40">
              <w:rPr>
                <w:b/>
                <w:bCs/>
                <w:sz w:val="20"/>
                <w:szCs w:val="20"/>
              </w:rPr>
              <w:t xml:space="preserve"> from all classified and unclassified roads</w:t>
            </w:r>
            <w:r w:rsidR="5DE86EE1" w:rsidRPr="004E2C40">
              <w:rPr>
                <w:b/>
                <w:bCs/>
                <w:sz w:val="20"/>
                <w:szCs w:val="20"/>
              </w:rPr>
              <w:t xml:space="preserve">. </w:t>
            </w:r>
            <w:r w:rsidRPr="004E2C40">
              <w:rPr>
                <w:b/>
                <w:bCs/>
                <w:sz w:val="20"/>
                <w:szCs w:val="20"/>
              </w:rPr>
              <w:t>Additionally</w:t>
            </w:r>
            <w:r w:rsidR="5DE86EE1" w:rsidRPr="004E2C40">
              <w:rPr>
                <w:b/>
                <w:bCs/>
                <w:sz w:val="20"/>
                <w:szCs w:val="20"/>
              </w:rPr>
              <w:t xml:space="preserve">, the IUCN categories for protected areas are </w:t>
            </w:r>
            <w:r w:rsidRPr="004E2C40">
              <w:rPr>
                <w:b/>
                <w:bCs/>
                <w:sz w:val="20"/>
                <w:szCs w:val="20"/>
              </w:rPr>
              <w:t>considered</w:t>
            </w:r>
            <w:r w:rsidR="5DE86EE1" w:rsidRPr="004E2C40">
              <w:rPr>
                <w:b/>
                <w:bCs/>
                <w:sz w:val="20"/>
                <w:szCs w:val="20"/>
              </w:rPr>
              <w:t xml:space="preserve"> to exclude only areas where harvesting is </w:t>
            </w:r>
            <w:r w:rsidRPr="004E2C40">
              <w:rPr>
                <w:b/>
                <w:bCs/>
                <w:sz w:val="20"/>
                <w:szCs w:val="20"/>
              </w:rPr>
              <w:t>explicitly</w:t>
            </w:r>
            <w:r w:rsidR="5DE86EE1" w:rsidRPr="004E2C40">
              <w:rPr>
                <w:b/>
                <w:bCs/>
                <w:sz w:val="20"/>
                <w:szCs w:val="20"/>
              </w:rPr>
              <w:t xml:space="preserve"> prohibited.</w:t>
            </w:r>
          </w:p>
          <w:p w14:paraId="46F7DD60" w14:textId="7741FEC7" w:rsidR="58E2ACF8" w:rsidRPr="004E2C40" w:rsidRDefault="58E2ACF8" w:rsidP="07F4AF5B">
            <w:pPr>
              <w:keepLines/>
              <w:spacing w:before="40" w:after="40" w:line="190" w:lineRule="exact"/>
              <w:rPr>
                <w:b/>
                <w:bCs/>
                <w:sz w:val="20"/>
                <w:szCs w:val="20"/>
              </w:rPr>
            </w:pPr>
          </w:p>
        </w:tc>
        <w:tc>
          <w:tcPr>
            <w:tcW w:w="3971" w:type="dxa"/>
            <w:tcBorders>
              <w:top w:val="single" w:sz="6" w:space="0" w:color="auto"/>
              <w:left w:val="single" w:sz="6" w:space="0" w:color="auto"/>
              <w:bottom w:val="single" w:sz="6" w:space="0" w:color="auto"/>
              <w:right w:val="single" w:sz="6" w:space="0" w:color="auto"/>
            </w:tcBorders>
          </w:tcPr>
          <w:p w14:paraId="4EDB6109" w14:textId="2EEDF672" w:rsidR="7B157E79" w:rsidRPr="004E2C40" w:rsidRDefault="7B157E79" w:rsidP="5D0333FE">
            <w:pPr>
              <w:keepLines/>
              <w:spacing w:before="40" w:after="40" w:line="190" w:lineRule="exact"/>
              <w:rPr>
                <w:b/>
                <w:bCs/>
                <w:sz w:val="20"/>
                <w:szCs w:val="20"/>
              </w:rPr>
            </w:pPr>
            <w:r w:rsidRPr="004E2C40">
              <w:rPr>
                <w:b/>
                <w:bCs/>
                <w:sz w:val="20"/>
                <w:szCs w:val="20"/>
              </w:rPr>
              <w:t>The passages describing these aspects of CDM T</w:t>
            </w:r>
            <w:r w:rsidR="00356DD7" w:rsidRPr="004E2C40">
              <w:rPr>
                <w:b/>
                <w:bCs/>
                <w:sz w:val="20"/>
                <w:szCs w:val="20"/>
              </w:rPr>
              <w:t>OOL30</w:t>
            </w:r>
            <w:r w:rsidRPr="004E2C40">
              <w:rPr>
                <w:b/>
                <w:bCs/>
                <w:sz w:val="20"/>
                <w:szCs w:val="20"/>
              </w:rPr>
              <w:t xml:space="preserve"> require correction. An accurate depiction of the guidelines outlined by the tool and its capacity to accommodate nuances related to tree cover should be included.</w:t>
            </w:r>
          </w:p>
          <w:p w14:paraId="4010214F" w14:textId="7B3C587D" w:rsidR="5D0333FE" w:rsidRPr="004E2C40" w:rsidRDefault="5D0333FE" w:rsidP="5D0333FE">
            <w:pPr>
              <w:keepLines/>
              <w:spacing w:before="40" w:after="40" w:line="190" w:lineRule="exact"/>
              <w:rPr>
                <w:b/>
                <w:bCs/>
                <w:sz w:val="20"/>
                <w:szCs w:val="20"/>
              </w:rPr>
            </w:pPr>
          </w:p>
          <w:p w14:paraId="60FFEC39" w14:textId="305E26BD" w:rsidR="062A4CA2" w:rsidRPr="004E2C40" w:rsidRDefault="062A4CA2" w:rsidP="5D0333FE">
            <w:pPr>
              <w:keepLines/>
              <w:spacing w:before="40" w:after="40" w:line="190" w:lineRule="exact"/>
              <w:rPr>
                <w:b/>
                <w:bCs/>
                <w:color w:val="4472C4" w:themeColor="accent1"/>
                <w:sz w:val="20"/>
                <w:szCs w:val="20"/>
              </w:rPr>
            </w:pPr>
            <w:r w:rsidRPr="004E2C40">
              <w:rPr>
                <w:b/>
                <w:bCs/>
                <w:color w:val="4472C4" w:themeColor="accent1"/>
                <w:sz w:val="20"/>
                <w:szCs w:val="20"/>
              </w:rPr>
              <w:t>P</w:t>
            </w:r>
            <w:r w:rsidR="4D5EAA7B" w:rsidRPr="004E2C40">
              <w:rPr>
                <w:b/>
                <w:bCs/>
                <w:color w:val="4472C4" w:themeColor="accent1"/>
                <w:sz w:val="20"/>
                <w:szCs w:val="20"/>
              </w:rPr>
              <w:t>roposed text</w:t>
            </w:r>
            <w:r w:rsidR="0C346CDB" w:rsidRPr="004E2C40">
              <w:rPr>
                <w:b/>
                <w:bCs/>
                <w:color w:val="4472C4" w:themeColor="accent1"/>
                <w:sz w:val="20"/>
                <w:szCs w:val="20"/>
              </w:rPr>
              <w:t>:</w:t>
            </w:r>
          </w:p>
          <w:p w14:paraId="0E2AC6EA" w14:textId="2A3BC46F" w:rsidR="68943C6D" w:rsidRPr="004E2C40" w:rsidRDefault="68943C6D" w:rsidP="5D0333FE">
            <w:pPr>
              <w:keepLines/>
              <w:spacing w:before="40" w:after="40" w:line="190" w:lineRule="exact"/>
              <w:rPr>
                <w:b/>
                <w:bCs/>
                <w:color w:val="4472C4" w:themeColor="accent1"/>
                <w:sz w:val="20"/>
                <w:szCs w:val="20"/>
              </w:rPr>
            </w:pPr>
            <w:r w:rsidRPr="004E2C40">
              <w:rPr>
                <w:b/>
                <w:bCs/>
                <w:color w:val="4472C4" w:themeColor="accent1"/>
                <w:sz w:val="20"/>
                <w:szCs w:val="20"/>
              </w:rPr>
              <w:t xml:space="preserve">The CDM </w:t>
            </w:r>
            <w:r w:rsidR="00AB164D" w:rsidRPr="004E2C40">
              <w:rPr>
                <w:b/>
                <w:bCs/>
                <w:color w:val="4472C4" w:themeColor="accent1"/>
                <w:sz w:val="20"/>
                <w:szCs w:val="20"/>
              </w:rPr>
              <w:t>TOOL30</w:t>
            </w:r>
            <w:r w:rsidRPr="004E2C40">
              <w:rPr>
                <w:b/>
                <w:bCs/>
                <w:color w:val="4472C4" w:themeColor="accent1"/>
                <w:sz w:val="20"/>
                <w:szCs w:val="20"/>
              </w:rPr>
              <w:t xml:space="preserve"> assesses accessibility by excluding biomass from protected and geographically remote areas within the total forest extent. To define geographically remote areas, DNAs/PPs may consider proximity to roads or rivers. For instance, areas of forests or other wooded lands located beyond the average distance typically travelled to collect fuelwood may be classified as non-accessible. This average travel distance can be derived from national studies, peer-reviewed literature, or surveys conducted within the project area. Accessibility encompasses all areas accessible to both forest industries and individual households. Consequently, the estimation of "non-accessible areas" should consider wood extraction by forest industries and fuelwood collection by individual households.</w:t>
            </w:r>
          </w:p>
          <w:p w14:paraId="65B050BA" w14:textId="6A714BD3" w:rsidR="5D0333FE" w:rsidRPr="004E2C40" w:rsidRDefault="5D0333FE" w:rsidP="5D0333FE">
            <w:pPr>
              <w:keepLines/>
              <w:spacing w:before="40" w:after="40" w:line="190" w:lineRule="exact"/>
              <w:rPr>
                <w:b/>
                <w:bCs/>
                <w:sz w:val="20"/>
                <w:szCs w:val="20"/>
              </w:rPr>
            </w:pPr>
          </w:p>
          <w:p w14:paraId="35C20583" w14:textId="4EA959CC" w:rsidR="7E4CDF16" w:rsidRPr="004E2C40" w:rsidRDefault="7E4CDF16" w:rsidP="5D0333FE">
            <w:pPr>
              <w:keepLines/>
              <w:spacing w:before="40" w:after="40" w:line="190" w:lineRule="exact"/>
              <w:rPr>
                <w:sz w:val="20"/>
                <w:szCs w:val="20"/>
              </w:rPr>
            </w:pPr>
            <w:r w:rsidRPr="004E2C40">
              <w:rPr>
                <w:b/>
                <w:bCs/>
                <w:sz w:val="20"/>
                <w:szCs w:val="20"/>
              </w:rPr>
              <w:t xml:space="preserve">If </w:t>
            </w:r>
            <w:r w:rsidR="00216CB3" w:rsidRPr="004E2C40">
              <w:rPr>
                <w:b/>
                <w:bCs/>
                <w:sz w:val="20"/>
                <w:szCs w:val="20"/>
              </w:rPr>
              <w:t xml:space="preserve">the authors of the CDM-MP92-A07 Information Note </w:t>
            </w:r>
            <w:r w:rsidRPr="004E2C40">
              <w:rPr>
                <w:b/>
                <w:bCs/>
                <w:sz w:val="20"/>
                <w:szCs w:val="20"/>
              </w:rPr>
              <w:t>still perceive this as a limitation of CDM T</w:t>
            </w:r>
            <w:r w:rsidR="00AB164D" w:rsidRPr="004E2C40">
              <w:rPr>
                <w:b/>
                <w:bCs/>
                <w:sz w:val="20"/>
                <w:szCs w:val="20"/>
              </w:rPr>
              <w:t>OOL30</w:t>
            </w:r>
            <w:r w:rsidRPr="004E2C40">
              <w:rPr>
                <w:b/>
                <w:bCs/>
                <w:sz w:val="20"/>
                <w:szCs w:val="20"/>
              </w:rPr>
              <w:t xml:space="preserve"> even after the necessary corrections have been made, it would be essential to provide a more detailed explanation of the perceived limitation, or alternatively, consider the removal of the paragraphs in question.</w:t>
            </w:r>
          </w:p>
          <w:p w14:paraId="5F23B7A2" w14:textId="1C70D9FF" w:rsidR="07F4AF5B" w:rsidRPr="004E2C40" w:rsidRDefault="07F4AF5B" w:rsidP="07F4AF5B">
            <w:pPr>
              <w:spacing w:line="190" w:lineRule="exact"/>
              <w:rPr>
                <w:b/>
                <w:bCs/>
                <w:sz w:val="20"/>
                <w:szCs w:val="20"/>
              </w:rPr>
            </w:pPr>
          </w:p>
          <w:p w14:paraId="7E22913F" w14:textId="417D8228" w:rsidR="07F4AF5B" w:rsidRPr="004E2C40" w:rsidRDefault="07F4AF5B" w:rsidP="07F4AF5B">
            <w:pPr>
              <w:spacing w:line="190" w:lineRule="exact"/>
              <w:rPr>
                <w:b/>
                <w:bCs/>
                <w:sz w:val="20"/>
                <w:szCs w:val="20"/>
              </w:rPr>
            </w:pP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4F3C1DE1" w14:textId="39AF6001" w:rsidR="07F4AF5B" w:rsidRPr="004E2C40" w:rsidRDefault="07F4AF5B" w:rsidP="07F4AF5B">
            <w:pPr>
              <w:spacing w:line="190" w:lineRule="exact"/>
              <w:jc w:val="center"/>
              <w:rPr>
                <w:b/>
                <w:bCs/>
                <w:sz w:val="20"/>
                <w:szCs w:val="20"/>
              </w:rPr>
            </w:pPr>
          </w:p>
        </w:tc>
      </w:tr>
      <w:tr w:rsidR="07F4AF5B" w:rsidRPr="004E2C40" w14:paraId="1DEB80D5"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67E0A8F2" w14:textId="30BFA3AA" w:rsidR="07F4AF5B" w:rsidRPr="004E2C40" w:rsidRDefault="00311699" w:rsidP="07F4AF5B">
            <w:pPr>
              <w:spacing w:line="190" w:lineRule="exact"/>
              <w:jc w:val="center"/>
              <w:rPr>
                <w:b/>
                <w:bCs/>
                <w:sz w:val="20"/>
                <w:szCs w:val="20"/>
              </w:rPr>
            </w:pPr>
            <w:r w:rsidRPr="004E2C40">
              <w:rPr>
                <w:b/>
                <w:bCs/>
                <w:sz w:val="20"/>
                <w:szCs w:val="20"/>
              </w:rPr>
              <w:lastRenderedPageBreak/>
              <w:t>5</w:t>
            </w:r>
          </w:p>
        </w:tc>
        <w:tc>
          <w:tcPr>
            <w:tcW w:w="2272" w:type="dxa"/>
            <w:gridSpan w:val="2"/>
            <w:tcBorders>
              <w:top w:val="single" w:sz="6" w:space="0" w:color="auto"/>
              <w:left w:val="single" w:sz="6" w:space="0" w:color="auto"/>
              <w:bottom w:val="single" w:sz="6" w:space="0" w:color="auto"/>
              <w:right w:val="single" w:sz="6" w:space="0" w:color="auto"/>
            </w:tcBorders>
          </w:tcPr>
          <w:p w14:paraId="7E54ED5C" w14:textId="15DC60DB" w:rsidR="422C32DC" w:rsidRPr="004E2C40" w:rsidRDefault="0C2DA783" w:rsidP="07F4AF5B">
            <w:pPr>
              <w:spacing w:line="190" w:lineRule="exact"/>
              <w:jc w:val="center"/>
              <w:rPr>
                <w:b/>
                <w:sz w:val="20"/>
                <w:szCs w:val="20"/>
              </w:rPr>
            </w:pPr>
            <w:r w:rsidRPr="004E2C40">
              <w:rPr>
                <w:b/>
                <w:bCs/>
                <w:sz w:val="20"/>
                <w:szCs w:val="20"/>
              </w:rPr>
              <w:t>Entire document</w:t>
            </w:r>
          </w:p>
        </w:tc>
        <w:tc>
          <w:tcPr>
            <w:tcW w:w="966" w:type="dxa"/>
            <w:tcBorders>
              <w:top w:val="single" w:sz="6" w:space="0" w:color="auto"/>
              <w:left w:val="single" w:sz="6" w:space="0" w:color="auto"/>
              <w:bottom w:val="single" w:sz="6" w:space="0" w:color="auto"/>
              <w:right w:val="single" w:sz="6" w:space="0" w:color="auto"/>
            </w:tcBorders>
          </w:tcPr>
          <w:p w14:paraId="4EF61D77" w14:textId="65080802" w:rsidR="422C32DC" w:rsidRPr="004E2C40" w:rsidRDefault="422C32DC" w:rsidP="07F4AF5B">
            <w:pPr>
              <w:spacing w:line="190" w:lineRule="exact"/>
              <w:jc w:val="center"/>
              <w:rPr>
                <w:b/>
                <w:sz w:val="20"/>
                <w:szCs w:val="20"/>
              </w:rPr>
            </w:pPr>
            <w:r w:rsidRPr="004E2C40">
              <w:rPr>
                <w:b/>
                <w:sz w:val="20"/>
                <w:szCs w:val="20"/>
              </w:rPr>
              <w:t>-</w:t>
            </w:r>
          </w:p>
        </w:tc>
        <w:tc>
          <w:tcPr>
            <w:tcW w:w="938" w:type="dxa"/>
            <w:tcBorders>
              <w:top w:val="single" w:sz="6" w:space="0" w:color="auto"/>
              <w:left w:val="single" w:sz="6" w:space="0" w:color="auto"/>
              <w:bottom w:val="single" w:sz="6" w:space="0" w:color="auto"/>
              <w:right w:val="single" w:sz="6" w:space="0" w:color="auto"/>
            </w:tcBorders>
          </w:tcPr>
          <w:p w14:paraId="3B6F8BE9" w14:textId="7F2AD358" w:rsidR="422C32DC" w:rsidRPr="004E2C40" w:rsidRDefault="422C32DC" w:rsidP="07F4AF5B">
            <w:pPr>
              <w:spacing w:line="190" w:lineRule="exact"/>
              <w:jc w:val="center"/>
              <w:rPr>
                <w:b/>
                <w:bCs/>
                <w:sz w:val="20"/>
                <w:szCs w:val="20"/>
              </w:rPr>
            </w:pPr>
            <w:proofErr w:type="spellStart"/>
            <w:r w:rsidRPr="004E2C40">
              <w:rPr>
                <w:b/>
                <w:bCs/>
                <w:sz w:val="20"/>
                <w:szCs w:val="20"/>
              </w:rPr>
              <w:t>te</w:t>
            </w:r>
            <w:proofErr w:type="spellEnd"/>
          </w:p>
        </w:tc>
        <w:tc>
          <w:tcPr>
            <w:tcW w:w="4444" w:type="dxa"/>
            <w:tcBorders>
              <w:top w:val="single" w:sz="6" w:space="0" w:color="auto"/>
              <w:left w:val="single" w:sz="6" w:space="0" w:color="auto"/>
              <w:bottom w:val="single" w:sz="6" w:space="0" w:color="auto"/>
              <w:right w:val="single" w:sz="6" w:space="0" w:color="auto"/>
            </w:tcBorders>
          </w:tcPr>
          <w:p w14:paraId="47CC9B96" w14:textId="0D34B9B0" w:rsidR="0265DDE8" w:rsidRPr="004E2C40" w:rsidRDefault="0265DDE8" w:rsidP="5D0333FE">
            <w:pPr>
              <w:spacing w:line="190" w:lineRule="exact"/>
              <w:rPr>
                <w:b/>
                <w:bCs/>
                <w:sz w:val="20"/>
                <w:szCs w:val="20"/>
              </w:rPr>
            </w:pPr>
            <w:r w:rsidRPr="004E2C40">
              <w:rPr>
                <w:b/>
                <w:bCs/>
                <w:sz w:val="20"/>
                <w:szCs w:val="20"/>
              </w:rPr>
              <w:t xml:space="preserve">The </w:t>
            </w:r>
            <w:proofErr w:type="spellStart"/>
            <w:r w:rsidRPr="004E2C40">
              <w:rPr>
                <w:b/>
                <w:bCs/>
                <w:sz w:val="20"/>
                <w:szCs w:val="20"/>
              </w:rPr>
              <w:t>MoFuSS</w:t>
            </w:r>
            <w:proofErr w:type="spellEnd"/>
            <w:r w:rsidRPr="004E2C40">
              <w:rPr>
                <w:b/>
                <w:bCs/>
                <w:sz w:val="20"/>
                <w:szCs w:val="20"/>
              </w:rPr>
              <w:t xml:space="preserve"> model is a complex system requiring numerous spatial inputs, each characterized by varying resolutions, each contributing its unique level of uncertainty. Further complexity arises from the need for resolution adjustments.</w:t>
            </w:r>
          </w:p>
          <w:p w14:paraId="65343034" w14:textId="1BEDA7F4" w:rsidR="5D0333FE" w:rsidRPr="004E2C40" w:rsidRDefault="5D0333FE" w:rsidP="5D0333FE">
            <w:pPr>
              <w:spacing w:line="190" w:lineRule="exact"/>
              <w:rPr>
                <w:b/>
                <w:bCs/>
                <w:sz w:val="20"/>
                <w:szCs w:val="20"/>
              </w:rPr>
            </w:pPr>
          </w:p>
          <w:p w14:paraId="61D23FEA" w14:textId="6D60DC23" w:rsidR="0265DDE8" w:rsidRPr="004E2C40" w:rsidRDefault="0265DDE8" w:rsidP="5D0333FE">
            <w:pPr>
              <w:spacing w:line="190" w:lineRule="exact"/>
              <w:rPr>
                <w:sz w:val="20"/>
                <w:szCs w:val="20"/>
              </w:rPr>
            </w:pPr>
            <w:r w:rsidRPr="004E2C40">
              <w:rPr>
                <w:b/>
                <w:bCs/>
                <w:sz w:val="20"/>
                <w:szCs w:val="20"/>
              </w:rPr>
              <w:t>Furthermore, understanding the potential relationships among these inputs is crucial to minimize variations in estimations. Unfortunately, the report does not include an assessment of collinearity among the input variables to determine their interdependencies.</w:t>
            </w:r>
          </w:p>
          <w:p w14:paraId="7E729AC4" w14:textId="1E72E60A" w:rsidR="5D0333FE" w:rsidRPr="004E2C40" w:rsidRDefault="5D0333FE" w:rsidP="5D0333FE">
            <w:pPr>
              <w:spacing w:line="190" w:lineRule="exact"/>
              <w:rPr>
                <w:b/>
                <w:bCs/>
                <w:sz w:val="20"/>
                <w:szCs w:val="20"/>
              </w:rPr>
            </w:pPr>
          </w:p>
          <w:p w14:paraId="6741D639" w14:textId="16F555B8" w:rsidR="0265DDE8" w:rsidRPr="004E2C40" w:rsidRDefault="0265DDE8" w:rsidP="5D0333FE">
            <w:pPr>
              <w:spacing w:line="190" w:lineRule="exact"/>
              <w:rPr>
                <w:sz w:val="20"/>
                <w:szCs w:val="20"/>
              </w:rPr>
            </w:pPr>
            <w:r w:rsidRPr="004E2C40">
              <w:rPr>
                <w:b/>
                <w:bCs/>
                <w:sz w:val="20"/>
                <w:szCs w:val="20"/>
              </w:rPr>
              <w:t xml:space="preserve">Certain </w:t>
            </w:r>
            <w:proofErr w:type="spellStart"/>
            <w:r w:rsidRPr="004E2C40">
              <w:rPr>
                <w:b/>
                <w:bCs/>
                <w:sz w:val="20"/>
                <w:szCs w:val="20"/>
              </w:rPr>
              <w:t>MoFuSS</w:t>
            </w:r>
            <w:proofErr w:type="spellEnd"/>
            <w:r w:rsidRPr="004E2C40">
              <w:rPr>
                <w:b/>
                <w:bCs/>
                <w:sz w:val="20"/>
                <w:szCs w:val="20"/>
              </w:rPr>
              <w:t xml:space="preserve"> model inputs, such as population distribution and </w:t>
            </w:r>
            <w:r w:rsidR="002A15CE" w:rsidRPr="004E2C40">
              <w:rPr>
                <w:b/>
                <w:bCs/>
                <w:sz w:val="20"/>
                <w:szCs w:val="20"/>
              </w:rPr>
              <w:t>above</w:t>
            </w:r>
            <w:r w:rsidR="00953A36" w:rsidRPr="004E2C40">
              <w:rPr>
                <w:b/>
                <w:bCs/>
                <w:sz w:val="20"/>
                <w:szCs w:val="20"/>
              </w:rPr>
              <w:t>-</w:t>
            </w:r>
            <w:r w:rsidR="002A15CE" w:rsidRPr="004E2C40">
              <w:rPr>
                <w:b/>
                <w:bCs/>
                <w:sz w:val="20"/>
                <w:szCs w:val="20"/>
              </w:rPr>
              <w:t>ground biomass</w:t>
            </w:r>
            <w:r w:rsidR="00953A36" w:rsidRPr="004E2C40">
              <w:rPr>
                <w:b/>
                <w:bCs/>
                <w:sz w:val="20"/>
                <w:szCs w:val="20"/>
              </w:rPr>
              <w:t xml:space="preserve"> (AGB)</w:t>
            </w:r>
            <w:r w:rsidRPr="004E2C40">
              <w:rPr>
                <w:b/>
                <w:bCs/>
                <w:sz w:val="20"/>
                <w:szCs w:val="20"/>
              </w:rPr>
              <w:t>, are derived from predicted data. Using estimated or projected data introduces notable disparities compared to the use of published data. The inherent uncertainties in the estimation model can lead to inaccuracies, potentially impacting fNRB estimation. In contrast, the utilization of published data helps mitigate these uncertainties.</w:t>
            </w:r>
          </w:p>
          <w:p w14:paraId="29636D8F" w14:textId="4B17F629" w:rsidR="5D0333FE" w:rsidRPr="004E2C40" w:rsidRDefault="5D0333FE" w:rsidP="5D0333FE">
            <w:pPr>
              <w:spacing w:line="190" w:lineRule="exact"/>
              <w:rPr>
                <w:b/>
                <w:bCs/>
                <w:sz w:val="20"/>
                <w:szCs w:val="20"/>
              </w:rPr>
            </w:pPr>
          </w:p>
          <w:p w14:paraId="2FDEBBF1" w14:textId="2DC542DA" w:rsidR="78387E2E" w:rsidRPr="004E2C40" w:rsidRDefault="0265DDE8" w:rsidP="07F4AF5B">
            <w:pPr>
              <w:spacing w:line="190" w:lineRule="exact"/>
              <w:rPr>
                <w:sz w:val="20"/>
                <w:szCs w:val="20"/>
              </w:rPr>
            </w:pPr>
            <w:r w:rsidRPr="004E2C40">
              <w:rPr>
                <w:b/>
                <w:bCs/>
                <w:sz w:val="20"/>
                <w:szCs w:val="20"/>
              </w:rPr>
              <w:t xml:space="preserve">Assumptions regarding input data for future estimations can introduce uncertainties. For instance, </w:t>
            </w:r>
            <w:proofErr w:type="gramStart"/>
            <w:r w:rsidRPr="004E2C40">
              <w:rPr>
                <w:b/>
                <w:bCs/>
                <w:sz w:val="20"/>
                <w:szCs w:val="20"/>
              </w:rPr>
              <w:t>assuming that</w:t>
            </w:r>
            <w:proofErr w:type="gramEnd"/>
            <w:r w:rsidRPr="004E2C40">
              <w:rPr>
                <w:b/>
                <w:bCs/>
                <w:sz w:val="20"/>
                <w:szCs w:val="20"/>
              </w:rPr>
              <w:t xml:space="preserve"> rural and urban areas change only in size and not in spatial distribution over time or that the percentages of fuelwood users remain constant over time can affect future predictions of population and consumption patterns.</w:t>
            </w:r>
          </w:p>
        </w:tc>
        <w:tc>
          <w:tcPr>
            <w:tcW w:w="3971" w:type="dxa"/>
            <w:tcBorders>
              <w:top w:val="single" w:sz="6" w:space="0" w:color="auto"/>
              <w:left w:val="single" w:sz="6" w:space="0" w:color="auto"/>
              <w:bottom w:val="single" w:sz="6" w:space="0" w:color="auto"/>
              <w:right w:val="single" w:sz="6" w:space="0" w:color="auto"/>
            </w:tcBorders>
          </w:tcPr>
          <w:p w14:paraId="107C0E29" w14:textId="2EB55442" w:rsidR="304F60C1" w:rsidRPr="004E2C40" w:rsidRDefault="304F60C1" w:rsidP="5D0333FE">
            <w:pPr>
              <w:spacing w:line="190" w:lineRule="exact"/>
              <w:rPr>
                <w:b/>
                <w:bCs/>
                <w:sz w:val="20"/>
                <w:szCs w:val="20"/>
              </w:rPr>
            </w:pPr>
            <w:r w:rsidRPr="004E2C40">
              <w:rPr>
                <w:b/>
                <w:bCs/>
                <w:sz w:val="20"/>
                <w:szCs w:val="20"/>
              </w:rPr>
              <w:t>The document should include a description of any required resolution adjustments and related assumptions.</w:t>
            </w:r>
          </w:p>
          <w:p w14:paraId="5E35D657" w14:textId="1DEA3E76" w:rsidR="5D0333FE" w:rsidRPr="004E2C40" w:rsidRDefault="5D0333FE" w:rsidP="5D0333FE">
            <w:pPr>
              <w:spacing w:line="190" w:lineRule="exact"/>
              <w:rPr>
                <w:b/>
                <w:bCs/>
                <w:sz w:val="20"/>
                <w:szCs w:val="20"/>
              </w:rPr>
            </w:pPr>
          </w:p>
          <w:p w14:paraId="35DACD25" w14:textId="6689CACA" w:rsidR="304F60C1" w:rsidRPr="004E2C40" w:rsidRDefault="304F60C1" w:rsidP="5D0333FE">
            <w:pPr>
              <w:spacing w:line="190" w:lineRule="exact"/>
              <w:rPr>
                <w:sz w:val="20"/>
                <w:szCs w:val="20"/>
              </w:rPr>
            </w:pPr>
            <w:r w:rsidRPr="004E2C40">
              <w:rPr>
                <w:b/>
                <w:bCs/>
                <w:sz w:val="20"/>
                <w:szCs w:val="20"/>
              </w:rPr>
              <w:t>Additionally, it is advisable to conduct a</w:t>
            </w:r>
            <w:r w:rsidR="668A210A" w:rsidRPr="004E2C40">
              <w:rPr>
                <w:b/>
                <w:bCs/>
                <w:sz w:val="20"/>
                <w:szCs w:val="20"/>
              </w:rPr>
              <w:t xml:space="preserve"> collinearity assessment of the input variables</w:t>
            </w:r>
            <w:r w:rsidR="29DD7E6A" w:rsidRPr="004E2C40">
              <w:rPr>
                <w:b/>
                <w:bCs/>
                <w:sz w:val="20"/>
                <w:szCs w:val="20"/>
              </w:rPr>
              <w:t xml:space="preserve"> </w:t>
            </w:r>
            <w:r w:rsidRPr="004E2C40">
              <w:rPr>
                <w:b/>
                <w:bCs/>
                <w:sz w:val="20"/>
                <w:szCs w:val="20"/>
              </w:rPr>
              <w:t>to ascertain potential</w:t>
            </w:r>
            <w:r w:rsidR="668A210A" w:rsidRPr="004E2C40">
              <w:rPr>
                <w:b/>
                <w:bCs/>
                <w:sz w:val="20"/>
                <w:szCs w:val="20"/>
              </w:rPr>
              <w:t xml:space="preserve"> relationships </w:t>
            </w:r>
            <w:r w:rsidR="2E6B1E2E" w:rsidRPr="004E2C40">
              <w:rPr>
                <w:b/>
                <w:bCs/>
                <w:sz w:val="20"/>
                <w:szCs w:val="20"/>
              </w:rPr>
              <w:t>among</w:t>
            </w:r>
            <w:r w:rsidR="668A210A" w:rsidRPr="004E2C40">
              <w:rPr>
                <w:b/>
                <w:bCs/>
                <w:sz w:val="20"/>
                <w:szCs w:val="20"/>
              </w:rPr>
              <w:t xml:space="preserve"> </w:t>
            </w:r>
            <w:r w:rsidR="075BABC5" w:rsidRPr="004E2C40">
              <w:rPr>
                <w:b/>
                <w:bCs/>
                <w:sz w:val="20"/>
                <w:szCs w:val="20"/>
              </w:rPr>
              <w:t>them</w:t>
            </w:r>
            <w:r w:rsidR="668A210A" w:rsidRPr="004E2C40">
              <w:rPr>
                <w:b/>
                <w:bCs/>
                <w:sz w:val="20"/>
                <w:szCs w:val="20"/>
              </w:rPr>
              <w:t xml:space="preserve">. This </w:t>
            </w:r>
            <w:r w:rsidRPr="004E2C40">
              <w:rPr>
                <w:b/>
                <w:bCs/>
                <w:sz w:val="20"/>
                <w:szCs w:val="20"/>
              </w:rPr>
              <w:t xml:space="preserve">assessment </w:t>
            </w:r>
            <w:r w:rsidR="668A210A" w:rsidRPr="004E2C40">
              <w:rPr>
                <w:b/>
                <w:bCs/>
                <w:sz w:val="20"/>
                <w:szCs w:val="20"/>
              </w:rPr>
              <w:t xml:space="preserve">can </w:t>
            </w:r>
            <w:r w:rsidRPr="004E2C40">
              <w:rPr>
                <w:b/>
                <w:bCs/>
                <w:sz w:val="20"/>
                <w:szCs w:val="20"/>
              </w:rPr>
              <w:t xml:space="preserve">significantly </w:t>
            </w:r>
            <w:r w:rsidR="668A210A" w:rsidRPr="004E2C40">
              <w:rPr>
                <w:b/>
                <w:bCs/>
                <w:sz w:val="20"/>
                <w:szCs w:val="20"/>
              </w:rPr>
              <w:t xml:space="preserve">aid in </w:t>
            </w:r>
            <w:r w:rsidRPr="004E2C40">
              <w:rPr>
                <w:b/>
                <w:bCs/>
                <w:sz w:val="20"/>
                <w:szCs w:val="20"/>
              </w:rPr>
              <w:t xml:space="preserve">reducing variations in </w:t>
            </w:r>
            <w:r w:rsidR="668A210A" w:rsidRPr="004E2C40">
              <w:rPr>
                <w:b/>
                <w:bCs/>
                <w:sz w:val="20"/>
                <w:szCs w:val="20"/>
              </w:rPr>
              <w:t>AGB</w:t>
            </w:r>
            <w:r w:rsidR="6F98B3F1" w:rsidRPr="004E2C40">
              <w:rPr>
                <w:b/>
                <w:bCs/>
                <w:sz w:val="20"/>
                <w:szCs w:val="20"/>
              </w:rPr>
              <w:t>, consumption</w:t>
            </w:r>
            <w:r w:rsidRPr="004E2C40">
              <w:rPr>
                <w:b/>
                <w:bCs/>
                <w:sz w:val="20"/>
                <w:szCs w:val="20"/>
              </w:rPr>
              <w:t>,</w:t>
            </w:r>
            <w:r w:rsidR="6F98B3F1" w:rsidRPr="004E2C40">
              <w:rPr>
                <w:b/>
                <w:bCs/>
                <w:sz w:val="20"/>
                <w:szCs w:val="20"/>
              </w:rPr>
              <w:t xml:space="preserve"> and fNRB estimates.</w:t>
            </w:r>
            <w:r w:rsidR="31A0D3A6" w:rsidRPr="004E2C40">
              <w:rPr>
                <w:b/>
                <w:bCs/>
                <w:sz w:val="20"/>
                <w:szCs w:val="20"/>
              </w:rPr>
              <w:t xml:space="preserve"> </w:t>
            </w:r>
            <w:r w:rsidRPr="004E2C40">
              <w:rPr>
                <w:b/>
                <w:bCs/>
                <w:sz w:val="20"/>
                <w:szCs w:val="20"/>
              </w:rPr>
              <w:t xml:space="preserve">The </w:t>
            </w:r>
            <w:r w:rsidR="31A0D3A6" w:rsidRPr="004E2C40">
              <w:rPr>
                <w:b/>
                <w:bCs/>
                <w:sz w:val="20"/>
                <w:szCs w:val="20"/>
              </w:rPr>
              <w:t xml:space="preserve">report </w:t>
            </w:r>
            <w:r w:rsidRPr="004E2C40">
              <w:rPr>
                <w:b/>
                <w:bCs/>
                <w:sz w:val="20"/>
                <w:szCs w:val="20"/>
              </w:rPr>
              <w:t xml:space="preserve">should feature a dedicated </w:t>
            </w:r>
            <w:r w:rsidR="31A0D3A6" w:rsidRPr="004E2C40">
              <w:rPr>
                <w:b/>
                <w:bCs/>
                <w:sz w:val="20"/>
                <w:szCs w:val="20"/>
              </w:rPr>
              <w:t xml:space="preserve">section </w:t>
            </w:r>
            <w:r w:rsidRPr="004E2C40">
              <w:rPr>
                <w:b/>
                <w:bCs/>
                <w:sz w:val="20"/>
                <w:szCs w:val="20"/>
              </w:rPr>
              <w:t>outlining</w:t>
            </w:r>
            <w:r w:rsidR="31A0D3A6" w:rsidRPr="004E2C40">
              <w:rPr>
                <w:b/>
                <w:bCs/>
                <w:sz w:val="20"/>
                <w:szCs w:val="20"/>
              </w:rPr>
              <w:t xml:space="preserve"> the </w:t>
            </w:r>
            <w:r w:rsidR="6E64C7DD" w:rsidRPr="004E2C40">
              <w:rPr>
                <w:b/>
                <w:bCs/>
                <w:sz w:val="20"/>
                <w:szCs w:val="20"/>
              </w:rPr>
              <w:t xml:space="preserve">results, conclusions, and </w:t>
            </w:r>
            <w:r w:rsidRPr="004E2C40">
              <w:rPr>
                <w:b/>
                <w:bCs/>
                <w:sz w:val="20"/>
                <w:szCs w:val="20"/>
              </w:rPr>
              <w:t>practical applications</w:t>
            </w:r>
            <w:r w:rsidR="6E64C7DD" w:rsidRPr="004E2C40">
              <w:rPr>
                <w:b/>
                <w:bCs/>
                <w:sz w:val="20"/>
                <w:szCs w:val="20"/>
              </w:rPr>
              <w:t xml:space="preserve"> of the collinearity assessment.</w:t>
            </w:r>
          </w:p>
          <w:p w14:paraId="57606DB5" w14:textId="1571574F" w:rsidR="5D0333FE" w:rsidRPr="004E2C40" w:rsidRDefault="5D0333FE" w:rsidP="5D0333FE">
            <w:pPr>
              <w:spacing w:line="190" w:lineRule="exact"/>
              <w:rPr>
                <w:b/>
                <w:bCs/>
                <w:sz w:val="20"/>
                <w:szCs w:val="20"/>
              </w:rPr>
            </w:pPr>
          </w:p>
          <w:p w14:paraId="0152F919" w14:textId="42575766" w:rsidR="304F60C1" w:rsidRPr="004E2C40" w:rsidRDefault="304F60C1" w:rsidP="5D0333FE">
            <w:pPr>
              <w:spacing w:line="190" w:lineRule="exact"/>
              <w:rPr>
                <w:sz w:val="20"/>
                <w:szCs w:val="20"/>
              </w:rPr>
            </w:pPr>
            <w:r w:rsidRPr="004E2C40">
              <w:rPr>
                <w:b/>
                <w:bCs/>
                <w:sz w:val="20"/>
                <w:szCs w:val="20"/>
              </w:rPr>
              <w:t>Furthermore, for inputs derived from estimations or predictions, a process of verification is essential. Descriptions of the verification methods and the resulting accuracy of the data should be included in the report.</w:t>
            </w:r>
          </w:p>
          <w:p w14:paraId="75D1F9F7" w14:textId="48A26113" w:rsidR="5D0333FE" w:rsidRPr="004E2C40" w:rsidRDefault="5D0333FE" w:rsidP="5D0333FE">
            <w:pPr>
              <w:spacing w:line="190" w:lineRule="exact"/>
              <w:rPr>
                <w:b/>
                <w:bCs/>
                <w:sz w:val="20"/>
                <w:szCs w:val="20"/>
              </w:rPr>
            </w:pPr>
          </w:p>
          <w:p w14:paraId="36956A3B" w14:textId="047843DC" w:rsidR="304F60C1" w:rsidRPr="004E2C40" w:rsidRDefault="304F60C1" w:rsidP="5D0333FE">
            <w:pPr>
              <w:spacing w:line="190" w:lineRule="exact"/>
              <w:rPr>
                <w:sz w:val="20"/>
                <w:szCs w:val="20"/>
              </w:rPr>
            </w:pPr>
            <w:r w:rsidRPr="004E2C40">
              <w:rPr>
                <w:b/>
                <w:bCs/>
                <w:sz w:val="20"/>
                <w:szCs w:val="20"/>
              </w:rPr>
              <w:t>Moreover, it is important to establish justifiable assumptions regarding changes in population and consumption dynamics over time to improve the robustness of future predictions.</w:t>
            </w:r>
          </w:p>
          <w:p w14:paraId="23277DED" w14:textId="7C696FBE" w:rsidR="0FB9A80B" w:rsidRPr="004E2C40" w:rsidRDefault="0FB9A80B" w:rsidP="07F4AF5B">
            <w:pPr>
              <w:spacing w:line="190" w:lineRule="exact"/>
              <w:rPr>
                <w:b/>
                <w:bCs/>
                <w:sz w:val="20"/>
                <w:szCs w:val="20"/>
              </w:rPr>
            </w:pP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77C25635" w14:textId="23FA7170" w:rsidR="07F4AF5B" w:rsidRPr="004E2C40" w:rsidRDefault="07F4AF5B" w:rsidP="07F4AF5B">
            <w:pPr>
              <w:spacing w:line="190" w:lineRule="exact"/>
              <w:jc w:val="center"/>
              <w:rPr>
                <w:b/>
                <w:bCs/>
                <w:sz w:val="20"/>
                <w:szCs w:val="20"/>
              </w:rPr>
            </w:pPr>
          </w:p>
        </w:tc>
      </w:tr>
      <w:tr w:rsidR="00863150" w:rsidRPr="004E2C40" w14:paraId="1DD2AA5D"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3BCD2FCE" w14:textId="42F679D0" w:rsidR="00863150" w:rsidRPr="004E2C40" w:rsidRDefault="00311699">
            <w:pPr>
              <w:keepLines/>
              <w:spacing w:before="40" w:after="40" w:line="190" w:lineRule="exact"/>
              <w:jc w:val="center"/>
              <w:rPr>
                <w:b/>
                <w:bCs/>
                <w:sz w:val="20"/>
                <w:szCs w:val="20"/>
              </w:rPr>
            </w:pPr>
            <w:r w:rsidRPr="004E2C40">
              <w:rPr>
                <w:b/>
                <w:bCs/>
                <w:sz w:val="20"/>
                <w:szCs w:val="20"/>
              </w:rPr>
              <w:lastRenderedPageBreak/>
              <w:t>6</w:t>
            </w:r>
          </w:p>
        </w:tc>
        <w:tc>
          <w:tcPr>
            <w:tcW w:w="2272" w:type="dxa"/>
            <w:gridSpan w:val="2"/>
            <w:tcBorders>
              <w:top w:val="single" w:sz="6" w:space="0" w:color="auto"/>
              <w:left w:val="single" w:sz="6" w:space="0" w:color="auto"/>
              <w:bottom w:val="single" w:sz="6" w:space="0" w:color="auto"/>
              <w:right w:val="single" w:sz="6" w:space="0" w:color="auto"/>
            </w:tcBorders>
          </w:tcPr>
          <w:p w14:paraId="7C812455" w14:textId="24E73B17" w:rsidR="5CBE3FF4" w:rsidRPr="004E2C40" w:rsidRDefault="5CBE3FF4" w:rsidP="5D0333FE">
            <w:pPr>
              <w:keepLines/>
              <w:spacing w:before="40" w:after="40" w:line="190" w:lineRule="exact"/>
              <w:jc w:val="center"/>
              <w:rPr>
                <w:b/>
                <w:bCs/>
                <w:sz w:val="20"/>
                <w:szCs w:val="20"/>
              </w:rPr>
            </w:pPr>
            <w:r w:rsidRPr="004E2C40">
              <w:rPr>
                <w:b/>
                <w:bCs/>
                <w:sz w:val="20"/>
                <w:szCs w:val="20"/>
              </w:rPr>
              <w:t xml:space="preserve">Biomass stocks </w:t>
            </w:r>
          </w:p>
          <w:p w14:paraId="1CD78D34" w14:textId="0D1C3760" w:rsidR="07F4AF5B" w:rsidRPr="004E2C40" w:rsidRDefault="5CBE3FF4" w:rsidP="07F4AF5B">
            <w:pPr>
              <w:keepLines/>
              <w:spacing w:before="40" w:after="40" w:line="190" w:lineRule="exact"/>
              <w:jc w:val="center"/>
              <w:rPr>
                <w:b/>
                <w:sz w:val="20"/>
                <w:szCs w:val="20"/>
              </w:rPr>
            </w:pPr>
            <w:r w:rsidRPr="004E2C40">
              <w:rPr>
                <w:b/>
                <w:bCs/>
                <w:sz w:val="20"/>
                <w:szCs w:val="20"/>
              </w:rPr>
              <w:t>Pg 19</w:t>
            </w:r>
          </w:p>
        </w:tc>
        <w:tc>
          <w:tcPr>
            <w:tcW w:w="966" w:type="dxa"/>
            <w:tcBorders>
              <w:top w:val="single" w:sz="6" w:space="0" w:color="auto"/>
              <w:left w:val="single" w:sz="6" w:space="0" w:color="auto"/>
              <w:bottom w:val="single" w:sz="6" w:space="0" w:color="auto"/>
              <w:right w:val="single" w:sz="6" w:space="0" w:color="auto"/>
            </w:tcBorders>
          </w:tcPr>
          <w:p w14:paraId="35CE48FB" w14:textId="5CFDAE60" w:rsidR="07F4AF5B" w:rsidRPr="004E2C40" w:rsidRDefault="5CBE3FF4" w:rsidP="07F4AF5B">
            <w:pPr>
              <w:keepLines/>
              <w:spacing w:before="40" w:after="40" w:line="190" w:lineRule="exact"/>
              <w:jc w:val="center"/>
              <w:rPr>
                <w:b/>
                <w:sz w:val="20"/>
                <w:szCs w:val="20"/>
              </w:rPr>
            </w:pPr>
            <w:r w:rsidRPr="004E2C40">
              <w:rPr>
                <w:b/>
                <w:bCs/>
                <w:sz w:val="20"/>
                <w:szCs w:val="20"/>
              </w:rPr>
              <w:t>Entire section</w:t>
            </w:r>
          </w:p>
        </w:tc>
        <w:tc>
          <w:tcPr>
            <w:tcW w:w="938" w:type="dxa"/>
            <w:tcBorders>
              <w:top w:val="single" w:sz="6" w:space="0" w:color="auto"/>
              <w:left w:val="single" w:sz="6" w:space="0" w:color="auto"/>
              <w:bottom w:val="single" w:sz="6" w:space="0" w:color="auto"/>
              <w:right w:val="single" w:sz="6" w:space="0" w:color="auto"/>
            </w:tcBorders>
          </w:tcPr>
          <w:p w14:paraId="2977270F" w14:textId="68211D58" w:rsidR="07F4AF5B" w:rsidRPr="004E2C40" w:rsidRDefault="07F4AF5B" w:rsidP="07F4AF5B">
            <w:pPr>
              <w:keepLines/>
              <w:spacing w:before="40" w:after="40" w:line="190" w:lineRule="exact"/>
              <w:jc w:val="center"/>
              <w:rPr>
                <w:b/>
                <w:bCs/>
                <w:sz w:val="20"/>
                <w:szCs w:val="20"/>
              </w:rPr>
            </w:pPr>
            <w:proofErr w:type="spellStart"/>
            <w:r w:rsidRPr="004E2C40">
              <w:rPr>
                <w:b/>
                <w:bCs/>
                <w:sz w:val="20"/>
                <w:szCs w:val="20"/>
              </w:rPr>
              <w:t>te</w:t>
            </w:r>
            <w:proofErr w:type="spellEnd"/>
          </w:p>
        </w:tc>
        <w:tc>
          <w:tcPr>
            <w:tcW w:w="4444" w:type="dxa"/>
            <w:tcBorders>
              <w:top w:val="single" w:sz="6" w:space="0" w:color="auto"/>
              <w:left w:val="single" w:sz="6" w:space="0" w:color="auto"/>
              <w:bottom w:val="single" w:sz="6" w:space="0" w:color="auto"/>
              <w:right w:val="single" w:sz="6" w:space="0" w:color="auto"/>
            </w:tcBorders>
          </w:tcPr>
          <w:p w14:paraId="58AA85D9" w14:textId="2EE4D785" w:rsidR="6EF445F2" w:rsidRPr="004E2C40" w:rsidRDefault="6EF445F2" w:rsidP="5D0333FE">
            <w:pPr>
              <w:keepLines/>
              <w:spacing w:before="40" w:after="40" w:line="190" w:lineRule="exact"/>
              <w:rPr>
                <w:b/>
                <w:bCs/>
                <w:sz w:val="20"/>
                <w:szCs w:val="20"/>
              </w:rPr>
            </w:pPr>
            <w:r w:rsidRPr="004E2C40">
              <w:rPr>
                <w:b/>
                <w:bCs/>
                <w:sz w:val="20"/>
                <w:szCs w:val="20"/>
              </w:rPr>
              <w:t>The 2010 above-ground biomass (AGB) maps utilized as baseline input for the fNRB calculations require a verification and validation process to establish their accuracy.</w:t>
            </w:r>
          </w:p>
          <w:p w14:paraId="3C807F80" w14:textId="459B082C" w:rsidR="5D0333FE" w:rsidRPr="004E2C40" w:rsidRDefault="5D0333FE" w:rsidP="5D0333FE">
            <w:pPr>
              <w:keepLines/>
              <w:spacing w:before="40" w:after="40" w:line="190" w:lineRule="exact"/>
              <w:rPr>
                <w:b/>
                <w:bCs/>
                <w:sz w:val="20"/>
                <w:szCs w:val="20"/>
              </w:rPr>
            </w:pPr>
          </w:p>
          <w:p w14:paraId="76D6627C" w14:textId="02CE4C42" w:rsidR="6EF445F2" w:rsidRPr="004E2C40" w:rsidRDefault="6EF445F2" w:rsidP="5D0333FE">
            <w:pPr>
              <w:keepLines/>
              <w:spacing w:before="40" w:after="40" w:line="190" w:lineRule="exact"/>
              <w:rPr>
                <w:sz w:val="20"/>
                <w:szCs w:val="20"/>
              </w:rPr>
            </w:pPr>
            <w:r w:rsidRPr="004E2C40">
              <w:rPr>
                <w:b/>
                <w:bCs/>
                <w:sz w:val="20"/>
                <w:szCs w:val="20"/>
              </w:rPr>
              <w:t>These 2010 AGB maps served as the foundation for estimating future AGB levels up to the year 2050 through the application of growth and harvest functions. The reliability of these future estimations is dependent on the accuracy of the baseline AGB data. Potential inaccuracies in the baseline AGB data can lead to inaccuracies in the future estimations.</w:t>
            </w:r>
          </w:p>
          <w:p w14:paraId="019D3285" w14:textId="67511764" w:rsidR="07F4AF5B" w:rsidRPr="004E2C40" w:rsidRDefault="07F4AF5B" w:rsidP="07F4AF5B">
            <w:pPr>
              <w:keepLines/>
              <w:spacing w:before="40" w:after="40" w:line="190" w:lineRule="exact"/>
              <w:rPr>
                <w:b/>
                <w:bCs/>
                <w:sz w:val="20"/>
                <w:szCs w:val="20"/>
              </w:rPr>
            </w:pPr>
          </w:p>
          <w:p w14:paraId="00A8E41F" w14:textId="1046E0C2" w:rsidR="50E3691B" w:rsidRPr="004E2C40" w:rsidRDefault="50E3691B" w:rsidP="07F4AF5B">
            <w:pPr>
              <w:keepLines/>
              <w:spacing w:before="40" w:after="40" w:line="190" w:lineRule="exact"/>
              <w:rPr>
                <w:sz w:val="20"/>
                <w:szCs w:val="20"/>
              </w:rPr>
            </w:pPr>
            <w:r w:rsidRPr="004E2C40">
              <w:rPr>
                <w:b/>
                <w:bCs/>
                <w:sz w:val="20"/>
                <w:szCs w:val="20"/>
              </w:rPr>
              <w:t xml:space="preserve">Furthermore, </w:t>
            </w:r>
            <w:r w:rsidR="6EF445F2" w:rsidRPr="004E2C40">
              <w:rPr>
                <w:b/>
                <w:bCs/>
                <w:sz w:val="20"/>
                <w:szCs w:val="20"/>
              </w:rPr>
              <w:t>the main document does not provide information about the</w:t>
            </w:r>
            <w:r w:rsidRPr="004E2C40">
              <w:rPr>
                <w:b/>
                <w:bCs/>
                <w:sz w:val="20"/>
                <w:szCs w:val="20"/>
              </w:rPr>
              <w:t xml:space="preserve"> model accuracy </w:t>
            </w:r>
            <w:r w:rsidR="6EF445F2" w:rsidRPr="004E2C40">
              <w:rPr>
                <w:b/>
                <w:bCs/>
                <w:sz w:val="20"/>
                <w:szCs w:val="20"/>
              </w:rPr>
              <w:t xml:space="preserve">associated with </w:t>
            </w:r>
            <w:r w:rsidRPr="004E2C40">
              <w:rPr>
                <w:b/>
                <w:bCs/>
                <w:sz w:val="20"/>
                <w:szCs w:val="20"/>
              </w:rPr>
              <w:t>the future AGB estimates</w:t>
            </w:r>
            <w:r w:rsidR="6EF445F2" w:rsidRPr="004E2C40">
              <w:rPr>
                <w:b/>
                <w:bCs/>
                <w:sz w:val="20"/>
                <w:szCs w:val="20"/>
              </w:rPr>
              <w:t>, nor does it suggest any</w:t>
            </w:r>
            <w:r w:rsidRPr="004E2C40">
              <w:rPr>
                <w:b/>
                <w:bCs/>
                <w:sz w:val="20"/>
                <w:szCs w:val="20"/>
              </w:rPr>
              <w:t xml:space="preserve"> background reading</w:t>
            </w:r>
            <w:r w:rsidR="6EF445F2" w:rsidRPr="004E2C40">
              <w:rPr>
                <w:b/>
                <w:bCs/>
                <w:sz w:val="20"/>
                <w:szCs w:val="20"/>
              </w:rPr>
              <w:t xml:space="preserve"> for such details.</w:t>
            </w:r>
            <w:r w:rsidR="2E2347FE" w:rsidRPr="004E2C40">
              <w:rPr>
                <w:b/>
                <w:bCs/>
                <w:sz w:val="20"/>
                <w:szCs w:val="20"/>
              </w:rPr>
              <w:t xml:space="preserve"> While the researchers express </w:t>
            </w:r>
            <w:r w:rsidR="6EF445F2" w:rsidRPr="004E2C40">
              <w:rPr>
                <w:b/>
                <w:bCs/>
                <w:sz w:val="20"/>
                <w:szCs w:val="20"/>
              </w:rPr>
              <w:t xml:space="preserve">their </w:t>
            </w:r>
            <w:r w:rsidR="2E2347FE" w:rsidRPr="004E2C40">
              <w:rPr>
                <w:b/>
                <w:bCs/>
                <w:sz w:val="20"/>
                <w:szCs w:val="20"/>
              </w:rPr>
              <w:t xml:space="preserve">intentions to refine AGB estimations in future work, the current estimates may potentially </w:t>
            </w:r>
            <w:r w:rsidR="6EF445F2" w:rsidRPr="004E2C40">
              <w:rPr>
                <w:b/>
                <w:bCs/>
                <w:sz w:val="20"/>
                <w:szCs w:val="20"/>
              </w:rPr>
              <w:t>contain</w:t>
            </w:r>
            <w:r w:rsidR="2E2347FE" w:rsidRPr="004E2C40">
              <w:rPr>
                <w:b/>
                <w:bCs/>
                <w:sz w:val="20"/>
                <w:szCs w:val="20"/>
              </w:rPr>
              <w:t xml:space="preserve"> inaccuracies that could </w:t>
            </w:r>
            <w:r w:rsidR="6EF445F2" w:rsidRPr="004E2C40">
              <w:rPr>
                <w:b/>
                <w:bCs/>
                <w:sz w:val="20"/>
                <w:szCs w:val="20"/>
              </w:rPr>
              <w:t xml:space="preserve">have an </w:t>
            </w:r>
            <w:r w:rsidR="2E2347FE" w:rsidRPr="004E2C40">
              <w:rPr>
                <w:b/>
                <w:bCs/>
                <w:sz w:val="20"/>
                <w:szCs w:val="20"/>
              </w:rPr>
              <w:t xml:space="preserve">impact </w:t>
            </w:r>
            <w:r w:rsidR="6EF445F2" w:rsidRPr="004E2C40">
              <w:rPr>
                <w:b/>
                <w:bCs/>
                <w:sz w:val="20"/>
                <w:szCs w:val="20"/>
              </w:rPr>
              <w:t xml:space="preserve">on </w:t>
            </w:r>
            <w:r w:rsidR="2E2347FE" w:rsidRPr="004E2C40">
              <w:rPr>
                <w:b/>
                <w:bCs/>
                <w:sz w:val="20"/>
                <w:szCs w:val="20"/>
              </w:rPr>
              <w:t>the fNRB assessments.</w:t>
            </w:r>
          </w:p>
        </w:tc>
        <w:tc>
          <w:tcPr>
            <w:tcW w:w="3971" w:type="dxa"/>
            <w:tcBorders>
              <w:top w:val="single" w:sz="6" w:space="0" w:color="auto"/>
              <w:left w:val="single" w:sz="6" w:space="0" w:color="auto"/>
              <w:bottom w:val="single" w:sz="6" w:space="0" w:color="auto"/>
              <w:right w:val="single" w:sz="6" w:space="0" w:color="auto"/>
            </w:tcBorders>
          </w:tcPr>
          <w:p w14:paraId="3212E982" w14:textId="1D0C5CCF" w:rsidR="6EF445F2" w:rsidRPr="004E2C40" w:rsidRDefault="6EF445F2" w:rsidP="5D0333FE">
            <w:pPr>
              <w:keepLines/>
              <w:spacing w:before="40" w:after="40" w:line="190" w:lineRule="exact"/>
              <w:rPr>
                <w:b/>
                <w:bCs/>
                <w:sz w:val="20"/>
                <w:szCs w:val="20"/>
              </w:rPr>
            </w:pPr>
            <w:r w:rsidRPr="004E2C40">
              <w:rPr>
                <w:b/>
                <w:bCs/>
                <w:sz w:val="20"/>
                <w:szCs w:val="20"/>
              </w:rPr>
              <w:t>A validation and verification assessment of the 2010 baseline AGB maps sourced from WCMC should be carried out. The report should incorporate a dedicated section discussing the accuracy of these AGB maps.</w:t>
            </w:r>
          </w:p>
          <w:p w14:paraId="535795EE" w14:textId="30632408" w:rsidR="5D0333FE" w:rsidRPr="004E2C40" w:rsidRDefault="5D0333FE" w:rsidP="5D0333FE">
            <w:pPr>
              <w:keepLines/>
              <w:spacing w:before="40" w:after="40" w:line="190" w:lineRule="exact"/>
              <w:rPr>
                <w:b/>
                <w:bCs/>
                <w:sz w:val="20"/>
                <w:szCs w:val="20"/>
              </w:rPr>
            </w:pPr>
          </w:p>
          <w:p w14:paraId="16304413" w14:textId="20EA45E4" w:rsidR="6EF445F2" w:rsidRPr="004E2C40" w:rsidRDefault="6EF445F2" w:rsidP="5D0333FE">
            <w:pPr>
              <w:keepLines/>
              <w:spacing w:before="40" w:after="40" w:line="190" w:lineRule="exact"/>
              <w:rPr>
                <w:sz w:val="20"/>
                <w:szCs w:val="20"/>
              </w:rPr>
            </w:pPr>
            <w:r w:rsidRPr="004E2C40">
              <w:rPr>
                <w:b/>
                <w:bCs/>
                <w:sz w:val="20"/>
                <w:szCs w:val="20"/>
              </w:rPr>
              <w:t>Furthermore, it is essential to provide information on the model accuracy employed in predicting future AGB values in the report. This will enhance the transparency and reliability of the fNRB assessments.</w:t>
            </w:r>
          </w:p>
          <w:p w14:paraId="522F849A" w14:textId="0796C07D" w:rsidR="5D0333FE" w:rsidRPr="004E2C40" w:rsidRDefault="5D0333FE" w:rsidP="5D0333FE">
            <w:pPr>
              <w:keepLines/>
              <w:spacing w:before="40" w:after="40" w:line="190" w:lineRule="exact"/>
              <w:rPr>
                <w:b/>
                <w:bCs/>
                <w:sz w:val="20"/>
                <w:szCs w:val="20"/>
              </w:rPr>
            </w:pPr>
          </w:p>
          <w:p w14:paraId="06CBE428" w14:textId="4623844C" w:rsidR="07F4AF5B" w:rsidRPr="004E2C40" w:rsidRDefault="07F4AF5B" w:rsidP="07F4AF5B">
            <w:pPr>
              <w:keepLines/>
              <w:spacing w:before="40" w:after="40" w:line="190" w:lineRule="exact"/>
              <w:rPr>
                <w:b/>
                <w:bCs/>
                <w:sz w:val="20"/>
                <w:szCs w:val="20"/>
              </w:rPr>
            </w:pP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41A97AA4" w14:textId="77777777" w:rsidR="00863150" w:rsidRPr="004E2C40" w:rsidRDefault="00863150">
            <w:pPr>
              <w:keepLines/>
              <w:spacing w:before="40" w:after="40" w:line="190" w:lineRule="exact"/>
              <w:jc w:val="center"/>
              <w:rPr>
                <w:b/>
                <w:bCs/>
                <w:sz w:val="20"/>
                <w:szCs w:val="20"/>
              </w:rPr>
            </w:pPr>
          </w:p>
        </w:tc>
      </w:tr>
      <w:tr w:rsidR="00863150" w:rsidRPr="004E2C40" w14:paraId="4452319A"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35DE81E2" w14:textId="04ABFE3A" w:rsidR="00863150" w:rsidRPr="004E2C40" w:rsidRDefault="00311699">
            <w:pPr>
              <w:keepLines/>
              <w:spacing w:before="40" w:after="40" w:line="190" w:lineRule="exact"/>
              <w:jc w:val="center"/>
              <w:rPr>
                <w:b/>
                <w:bCs/>
                <w:sz w:val="20"/>
                <w:szCs w:val="20"/>
              </w:rPr>
            </w:pPr>
            <w:r w:rsidRPr="004E2C40">
              <w:rPr>
                <w:b/>
                <w:bCs/>
                <w:sz w:val="20"/>
                <w:szCs w:val="20"/>
              </w:rPr>
              <w:lastRenderedPageBreak/>
              <w:t>7</w:t>
            </w:r>
          </w:p>
        </w:tc>
        <w:tc>
          <w:tcPr>
            <w:tcW w:w="2272" w:type="dxa"/>
            <w:gridSpan w:val="2"/>
            <w:tcBorders>
              <w:top w:val="single" w:sz="6" w:space="0" w:color="auto"/>
              <w:left w:val="single" w:sz="6" w:space="0" w:color="auto"/>
              <w:bottom w:val="single" w:sz="6" w:space="0" w:color="auto"/>
              <w:right w:val="single" w:sz="6" w:space="0" w:color="auto"/>
            </w:tcBorders>
          </w:tcPr>
          <w:p w14:paraId="22A15F27" w14:textId="75BA5915" w:rsidR="2FC7B7E7" w:rsidRPr="004E2C40" w:rsidRDefault="2FC7B7E7" w:rsidP="5D0333FE">
            <w:pPr>
              <w:keepLines/>
              <w:spacing w:before="40" w:after="40" w:line="190" w:lineRule="exact"/>
              <w:jc w:val="center"/>
              <w:rPr>
                <w:b/>
                <w:bCs/>
                <w:sz w:val="20"/>
                <w:szCs w:val="20"/>
              </w:rPr>
            </w:pPr>
            <w:r w:rsidRPr="004E2C40">
              <w:rPr>
                <w:b/>
                <w:bCs/>
                <w:sz w:val="20"/>
                <w:szCs w:val="20"/>
              </w:rPr>
              <w:t>Biomass growth functions</w:t>
            </w:r>
          </w:p>
          <w:p w14:paraId="257B5F6C" w14:textId="62057CD8" w:rsidR="07F4AF5B" w:rsidRPr="004E2C40" w:rsidRDefault="2FC7B7E7" w:rsidP="07F4AF5B">
            <w:pPr>
              <w:keepLines/>
              <w:spacing w:before="40" w:after="40" w:line="190" w:lineRule="exact"/>
              <w:jc w:val="center"/>
              <w:rPr>
                <w:b/>
                <w:bCs/>
                <w:sz w:val="20"/>
                <w:szCs w:val="20"/>
              </w:rPr>
            </w:pPr>
            <w:r w:rsidRPr="004E2C40">
              <w:rPr>
                <w:b/>
                <w:bCs/>
                <w:sz w:val="20"/>
                <w:szCs w:val="20"/>
              </w:rPr>
              <w:t>Pg 21</w:t>
            </w:r>
          </w:p>
        </w:tc>
        <w:tc>
          <w:tcPr>
            <w:tcW w:w="966" w:type="dxa"/>
            <w:tcBorders>
              <w:top w:val="single" w:sz="6" w:space="0" w:color="auto"/>
              <w:left w:val="single" w:sz="6" w:space="0" w:color="auto"/>
              <w:bottom w:val="single" w:sz="6" w:space="0" w:color="auto"/>
              <w:right w:val="single" w:sz="6" w:space="0" w:color="auto"/>
            </w:tcBorders>
          </w:tcPr>
          <w:p w14:paraId="6B6C12B6" w14:textId="6399309B" w:rsidR="07F4AF5B" w:rsidRPr="004E2C40" w:rsidRDefault="2FC7B7E7" w:rsidP="07F4AF5B">
            <w:pPr>
              <w:keepLines/>
              <w:spacing w:before="40" w:after="40" w:line="190" w:lineRule="exact"/>
              <w:jc w:val="center"/>
              <w:rPr>
                <w:b/>
                <w:bCs/>
                <w:sz w:val="20"/>
                <w:szCs w:val="20"/>
              </w:rPr>
            </w:pPr>
            <w:r w:rsidRPr="004E2C40">
              <w:rPr>
                <w:b/>
                <w:bCs/>
                <w:sz w:val="20"/>
                <w:szCs w:val="20"/>
              </w:rPr>
              <w:t>Entire section</w:t>
            </w:r>
          </w:p>
        </w:tc>
        <w:tc>
          <w:tcPr>
            <w:tcW w:w="938" w:type="dxa"/>
            <w:tcBorders>
              <w:top w:val="single" w:sz="6" w:space="0" w:color="auto"/>
              <w:left w:val="single" w:sz="6" w:space="0" w:color="auto"/>
              <w:bottom w:val="single" w:sz="6" w:space="0" w:color="auto"/>
              <w:right w:val="single" w:sz="6" w:space="0" w:color="auto"/>
            </w:tcBorders>
          </w:tcPr>
          <w:p w14:paraId="56425C28" w14:textId="4D700381" w:rsidR="07F4AF5B" w:rsidRPr="004E2C40" w:rsidRDefault="07F4AF5B" w:rsidP="07F4AF5B">
            <w:pPr>
              <w:keepLines/>
              <w:spacing w:before="40" w:after="40" w:line="190" w:lineRule="exact"/>
              <w:jc w:val="center"/>
              <w:rPr>
                <w:b/>
                <w:bCs/>
                <w:sz w:val="20"/>
                <w:szCs w:val="20"/>
              </w:rPr>
            </w:pPr>
            <w:proofErr w:type="spellStart"/>
            <w:r w:rsidRPr="004E2C40">
              <w:rPr>
                <w:b/>
                <w:bCs/>
                <w:sz w:val="20"/>
                <w:szCs w:val="20"/>
              </w:rPr>
              <w:t>te</w:t>
            </w:r>
            <w:proofErr w:type="spellEnd"/>
          </w:p>
        </w:tc>
        <w:tc>
          <w:tcPr>
            <w:tcW w:w="4444" w:type="dxa"/>
            <w:tcBorders>
              <w:top w:val="single" w:sz="6" w:space="0" w:color="auto"/>
              <w:left w:val="single" w:sz="6" w:space="0" w:color="auto"/>
              <w:bottom w:val="single" w:sz="6" w:space="0" w:color="auto"/>
              <w:right w:val="single" w:sz="6" w:space="0" w:color="auto"/>
            </w:tcBorders>
          </w:tcPr>
          <w:p w14:paraId="50420540" w14:textId="7D45FD3F" w:rsidR="1F16FCA5" w:rsidRPr="004E2C40" w:rsidRDefault="1F16FCA5" w:rsidP="5D0333FE">
            <w:pPr>
              <w:keepLines/>
              <w:spacing w:before="40" w:after="40" w:line="190" w:lineRule="exact"/>
              <w:rPr>
                <w:b/>
                <w:bCs/>
                <w:sz w:val="20"/>
                <w:szCs w:val="20"/>
              </w:rPr>
            </w:pPr>
            <w:r w:rsidRPr="004E2C40">
              <w:rPr>
                <w:b/>
                <w:bCs/>
                <w:sz w:val="20"/>
                <w:szCs w:val="20"/>
              </w:rPr>
              <w:t>A growth function is applied to the 2010 AGB to estimate biomass growth from 2010 to 2050. This function relies on current AGB, maximum growth rate (</w:t>
            </w:r>
            <w:proofErr w:type="spellStart"/>
            <w:r w:rsidRPr="004E2C40">
              <w:rPr>
                <w:b/>
                <w:bCs/>
                <w:sz w:val="20"/>
                <w:szCs w:val="20"/>
              </w:rPr>
              <w:t>rmax</w:t>
            </w:r>
            <w:proofErr w:type="spellEnd"/>
            <w:r w:rsidRPr="004E2C40">
              <w:rPr>
                <w:b/>
                <w:bCs/>
                <w:sz w:val="20"/>
                <w:szCs w:val="20"/>
              </w:rPr>
              <w:t xml:space="preserve">), and maximum woody biomass (K). </w:t>
            </w:r>
          </w:p>
          <w:p w14:paraId="4A462153" w14:textId="0CA58BEB" w:rsidR="5D0333FE" w:rsidRPr="004E2C40" w:rsidRDefault="5D0333FE" w:rsidP="5D0333FE">
            <w:pPr>
              <w:keepLines/>
              <w:spacing w:before="40" w:after="40" w:line="190" w:lineRule="exact"/>
              <w:rPr>
                <w:b/>
                <w:bCs/>
                <w:sz w:val="20"/>
                <w:szCs w:val="20"/>
              </w:rPr>
            </w:pPr>
          </w:p>
          <w:p w14:paraId="7117CF0B" w14:textId="36698B8F" w:rsidR="1F16FCA5" w:rsidRPr="004E2C40" w:rsidRDefault="1F16FCA5" w:rsidP="5D0333FE">
            <w:pPr>
              <w:keepLines/>
              <w:spacing w:before="40" w:after="40" w:line="190" w:lineRule="exact"/>
              <w:rPr>
                <w:sz w:val="20"/>
                <w:szCs w:val="20"/>
              </w:rPr>
            </w:pPr>
            <w:r w:rsidRPr="004E2C40">
              <w:rPr>
                <w:b/>
                <w:bCs/>
                <w:sz w:val="20"/>
                <w:szCs w:val="20"/>
              </w:rPr>
              <w:t xml:space="preserve">As previously mentioned, the inaccuracy of the 2010 AGB data has the potential to affect these calculations. Furthermore, the maximum AGB stock values used in the growth function are sourced from the 2010 WCMC maps. While a study has been conducted to provide standard deviations of the </w:t>
            </w:r>
            <w:proofErr w:type="spellStart"/>
            <w:r w:rsidRPr="004E2C40">
              <w:rPr>
                <w:b/>
                <w:bCs/>
                <w:sz w:val="20"/>
                <w:szCs w:val="20"/>
              </w:rPr>
              <w:t>rmax</w:t>
            </w:r>
            <w:proofErr w:type="spellEnd"/>
            <w:r w:rsidRPr="004E2C40">
              <w:rPr>
                <w:b/>
                <w:bCs/>
                <w:sz w:val="20"/>
                <w:szCs w:val="20"/>
              </w:rPr>
              <w:t xml:space="preserve"> and K values for different land cover classes to mitigate variation, using the maximum growth rate for corresponding land cover and ecological zones may lead to overestimations of biomass growth.</w:t>
            </w:r>
          </w:p>
          <w:p w14:paraId="6066053E" w14:textId="58DEBFBE" w:rsidR="5D0333FE" w:rsidRPr="004E2C40" w:rsidRDefault="5D0333FE" w:rsidP="5D0333FE">
            <w:pPr>
              <w:keepLines/>
              <w:spacing w:before="40" w:after="40" w:line="190" w:lineRule="exact"/>
              <w:rPr>
                <w:b/>
                <w:bCs/>
                <w:sz w:val="20"/>
                <w:szCs w:val="20"/>
              </w:rPr>
            </w:pPr>
          </w:p>
          <w:p w14:paraId="2D0792A6" w14:textId="26202999" w:rsidR="1F16FCA5" w:rsidRPr="004E2C40" w:rsidRDefault="1F16FCA5" w:rsidP="5D0333FE">
            <w:pPr>
              <w:keepLines/>
              <w:spacing w:before="40" w:after="40" w:line="190" w:lineRule="exact"/>
              <w:rPr>
                <w:sz w:val="20"/>
                <w:szCs w:val="20"/>
              </w:rPr>
            </w:pPr>
            <w:r w:rsidRPr="004E2C40">
              <w:rPr>
                <w:b/>
                <w:bCs/>
                <w:sz w:val="20"/>
                <w:szCs w:val="20"/>
              </w:rPr>
              <w:t>The source and accuracy of the growth function are not reported in the document, highlighting the need for validation and verification.</w:t>
            </w:r>
          </w:p>
          <w:p w14:paraId="5E7E7B9D" w14:textId="7DAD7BB9" w:rsidR="5D0333FE" w:rsidRPr="004E2C40" w:rsidRDefault="5D0333FE" w:rsidP="5D0333FE">
            <w:pPr>
              <w:keepLines/>
              <w:spacing w:before="40" w:after="40" w:line="190" w:lineRule="exact"/>
              <w:rPr>
                <w:b/>
                <w:bCs/>
                <w:sz w:val="20"/>
                <w:szCs w:val="20"/>
              </w:rPr>
            </w:pPr>
          </w:p>
          <w:p w14:paraId="31BFFE69" w14:textId="48F06EAB" w:rsidR="2046E5BF" w:rsidRPr="004E2C40" w:rsidRDefault="1F16FCA5" w:rsidP="07F4AF5B">
            <w:pPr>
              <w:keepLines/>
              <w:spacing w:before="40" w:after="40" w:line="190" w:lineRule="exact"/>
              <w:rPr>
                <w:sz w:val="20"/>
                <w:szCs w:val="20"/>
              </w:rPr>
            </w:pPr>
            <w:r w:rsidRPr="004E2C40">
              <w:rPr>
                <w:b/>
                <w:bCs/>
                <w:sz w:val="20"/>
                <w:szCs w:val="20"/>
              </w:rPr>
              <w:t xml:space="preserve">Additionally, a sensitivity analysis of the fNRB to the </w:t>
            </w:r>
            <w:proofErr w:type="spellStart"/>
            <w:r w:rsidRPr="004E2C40">
              <w:rPr>
                <w:b/>
                <w:bCs/>
                <w:sz w:val="20"/>
                <w:szCs w:val="20"/>
              </w:rPr>
              <w:t>rmax</w:t>
            </w:r>
            <w:proofErr w:type="spellEnd"/>
            <w:r w:rsidRPr="004E2C40">
              <w:rPr>
                <w:b/>
                <w:bCs/>
                <w:sz w:val="20"/>
                <w:szCs w:val="20"/>
              </w:rPr>
              <w:t xml:space="preserve"> and K values was conducted as part of the study, revealing high sensitivity. Consequently, uncertainties originating from these inputs can significantly impact the fNRB estimations.</w:t>
            </w:r>
          </w:p>
        </w:tc>
        <w:tc>
          <w:tcPr>
            <w:tcW w:w="3971" w:type="dxa"/>
            <w:tcBorders>
              <w:top w:val="single" w:sz="6" w:space="0" w:color="auto"/>
              <w:left w:val="single" w:sz="6" w:space="0" w:color="auto"/>
              <w:bottom w:val="single" w:sz="6" w:space="0" w:color="auto"/>
              <w:right w:val="single" w:sz="6" w:space="0" w:color="auto"/>
            </w:tcBorders>
          </w:tcPr>
          <w:p w14:paraId="4A3F30A4" w14:textId="4837BC53" w:rsidR="09426D54" w:rsidRPr="004E2C40" w:rsidRDefault="09426D54" w:rsidP="5D0333FE">
            <w:pPr>
              <w:keepLines/>
              <w:spacing w:before="40" w:after="40" w:line="190" w:lineRule="exact"/>
              <w:rPr>
                <w:b/>
                <w:bCs/>
                <w:sz w:val="20"/>
                <w:szCs w:val="20"/>
              </w:rPr>
            </w:pPr>
            <w:r w:rsidRPr="004E2C40">
              <w:rPr>
                <w:b/>
                <w:bCs/>
                <w:sz w:val="20"/>
                <w:szCs w:val="20"/>
              </w:rPr>
              <w:t>The previously mentioned assessment for validating and verifying the AGB maps is crucial not only for the AGB but also for the accurate estimation of maximum AGB stock.</w:t>
            </w:r>
          </w:p>
          <w:p w14:paraId="4FC126E6" w14:textId="5F9185F4" w:rsidR="5D0333FE" w:rsidRPr="004E2C40" w:rsidRDefault="5D0333FE" w:rsidP="5D0333FE">
            <w:pPr>
              <w:keepLines/>
              <w:spacing w:before="40" w:after="40" w:line="190" w:lineRule="exact"/>
              <w:rPr>
                <w:b/>
                <w:bCs/>
                <w:sz w:val="20"/>
                <w:szCs w:val="20"/>
              </w:rPr>
            </w:pPr>
          </w:p>
          <w:p w14:paraId="7A4C56BF" w14:textId="1697CD44" w:rsidR="09426D54" w:rsidRPr="004E2C40" w:rsidRDefault="09426D54" w:rsidP="5D0333FE">
            <w:pPr>
              <w:keepLines/>
              <w:spacing w:before="40" w:after="40" w:line="190" w:lineRule="exact"/>
              <w:rPr>
                <w:sz w:val="20"/>
                <w:szCs w:val="20"/>
              </w:rPr>
            </w:pPr>
            <w:r w:rsidRPr="004E2C40">
              <w:rPr>
                <w:b/>
                <w:bCs/>
                <w:sz w:val="20"/>
                <w:szCs w:val="20"/>
              </w:rPr>
              <w:t>Moreover, utilizing total, primary, and tree cover gain data to estimate the portion of stand aged below and above 20 years and applying the corresponding growth rate values for different stand ages can enhance the accuracy of growth estimations.</w:t>
            </w:r>
          </w:p>
          <w:p w14:paraId="45725687" w14:textId="04871754" w:rsidR="5D0333FE" w:rsidRPr="004E2C40" w:rsidRDefault="5D0333FE" w:rsidP="5D0333FE">
            <w:pPr>
              <w:keepLines/>
              <w:spacing w:before="40" w:after="40" w:line="190" w:lineRule="exact"/>
              <w:rPr>
                <w:b/>
                <w:bCs/>
                <w:sz w:val="20"/>
                <w:szCs w:val="20"/>
              </w:rPr>
            </w:pPr>
          </w:p>
          <w:p w14:paraId="39479A58" w14:textId="70177A36" w:rsidR="3A8776FD" w:rsidRPr="004E2C40" w:rsidRDefault="09426D54" w:rsidP="07F4AF5B">
            <w:pPr>
              <w:keepLines/>
              <w:spacing w:before="40" w:after="40" w:line="190" w:lineRule="exact"/>
              <w:rPr>
                <w:sz w:val="20"/>
                <w:szCs w:val="20"/>
              </w:rPr>
            </w:pPr>
            <w:r w:rsidRPr="004E2C40">
              <w:rPr>
                <w:b/>
                <w:bCs/>
                <w:sz w:val="20"/>
                <w:szCs w:val="20"/>
              </w:rPr>
              <w:t>It is imperative to conduct an assessment for validating and verifying the growth function, and the report should encompass a dedicated section addressing the accuracy of this function. This will bolster the reliability of the entire estimation process.</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499716CA" w14:textId="77777777" w:rsidR="00863150" w:rsidRPr="004E2C40" w:rsidRDefault="00863150">
            <w:pPr>
              <w:keepLines/>
              <w:spacing w:before="40" w:after="40" w:line="190" w:lineRule="exact"/>
              <w:jc w:val="center"/>
              <w:rPr>
                <w:b/>
                <w:bCs/>
                <w:sz w:val="20"/>
                <w:szCs w:val="20"/>
              </w:rPr>
            </w:pPr>
          </w:p>
        </w:tc>
      </w:tr>
      <w:tr w:rsidR="00863150" w:rsidRPr="004E2C40" w14:paraId="20DC6649"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2045C234" w14:textId="5544AC7E" w:rsidR="00863150" w:rsidRPr="004E2C40" w:rsidRDefault="00311699">
            <w:pPr>
              <w:keepLines/>
              <w:spacing w:before="40" w:after="40" w:line="190" w:lineRule="exact"/>
              <w:jc w:val="center"/>
              <w:rPr>
                <w:b/>
                <w:bCs/>
                <w:sz w:val="20"/>
                <w:szCs w:val="20"/>
              </w:rPr>
            </w:pPr>
            <w:r w:rsidRPr="004E2C40">
              <w:rPr>
                <w:b/>
                <w:bCs/>
                <w:sz w:val="20"/>
                <w:szCs w:val="20"/>
              </w:rPr>
              <w:lastRenderedPageBreak/>
              <w:t>8</w:t>
            </w:r>
          </w:p>
        </w:tc>
        <w:tc>
          <w:tcPr>
            <w:tcW w:w="2272" w:type="dxa"/>
            <w:gridSpan w:val="2"/>
            <w:tcBorders>
              <w:top w:val="single" w:sz="6" w:space="0" w:color="auto"/>
              <w:left w:val="single" w:sz="6" w:space="0" w:color="auto"/>
              <w:bottom w:val="single" w:sz="6" w:space="0" w:color="auto"/>
              <w:right w:val="single" w:sz="6" w:space="0" w:color="auto"/>
            </w:tcBorders>
          </w:tcPr>
          <w:p w14:paraId="78C62CE0" w14:textId="106E7C03" w:rsidR="362E4E4B" w:rsidRPr="004E2C40" w:rsidRDefault="362E4E4B" w:rsidP="5D0333FE">
            <w:pPr>
              <w:keepLines/>
              <w:spacing w:before="40" w:after="40" w:line="240" w:lineRule="exact"/>
              <w:jc w:val="center"/>
              <w:rPr>
                <w:sz w:val="20"/>
                <w:szCs w:val="20"/>
              </w:rPr>
            </w:pPr>
            <w:r w:rsidRPr="004E2C40">
              <w:rPr>
                <w:b/>
                <w:bCs/>
                <w:sz w:val="20"/>
                <w:szCs w:val="20"/>
              </w:rPr>
              <w:t xml:space="preserve">Biomass harvest and NRB in </w:t>
            </w:r>
            <w:proofErr w:type="spellStart"/>
            <w:r w:rsidRPr="004E2C40">
              <w:rPr>
                <w:b/>
                <w:bCs/>
                <w:sz w:val="20"/>
                <w:szCs w:val="20"/>
              </w:rPr>
              <w:t>MoF</w:t>
            </w:r>
            <w:r w:rsidR="00F371A5" w:rsidRPr="004E2C40">
              <w:rPr>
                <w:b/>
                <w:bCs/>
                <w:sz w:val="20"/>
                <w:szCs w:val="20"/>
              </w:rPr>
              <w:t>u</w:t>
            </w:r>
            <w:r w:rsidRPr="004E2C40">
              <w:rPr>
                <w:b/>
                <w:bCs/>
                <w:sz w:val="20"/>
                <w:szCs w:val="20"/>
              </w:rPr>
              <w:t>SS</w:t>
            </w:r>
            <w:proofErr w:type="spellEnd"/>
          </w:p>
          <w:p w14:paraId="2F3815E4" w14:textId="78C0424B" w:rsidR="00863150" w:rsidRPr="004E2C40" w:rsidRDefault="362E4E4B">
            <w:pPr>
              <w:keepLines/>
              <w:spacing w:before="40" w:after="40" w:line="190" w:lineRule="exact"/>
              <w:jc w:val="center"/>
              <w:rPr>
                <w:b/>
                <w:bCs/>
                <w:sz w:val="20"/>
                <w:szCs w:val="20"/>
              </w:rPr>
            </w:pPr>
            <w:r w:rsidRPr="004E2C40">
              <w:rPr>
                <w:b/>
                <w:bCs/>
                <w:sz w:val="20"/>
                <w:szCs w:val="20"/>
              </w:rPr>
              <w:t>Pg 35</w:t>
            </w:r>
          </w:p>
        </w:tc>
        <w:tc>
          <w:tcPr>
            <w:tcW w:w="966" w:type="dxa"/>
            <w:tcBorders>
              <w:top w:val="single" w:sz="6" w:space="0" w:color="auto"/>
              <w:left w:val="single" w:sz="6" w:space="0" w:color="auto"/>
              <w:bottom w:val="single" w:sz="6" w:space="0" w:color="auto"/>
              <w:right w:val="single" w:sz="6" w:space="0" w:color="auto"/>
            </w:tcBorders>
          </w:tcPr>
          <w:p w14:paraId="15AC8CDE" w14:textId="29B2234C" w:rsidR="00863150" w:rsidRPr="004E2C40" w:rsidRDefault="362E4E4B">
            <w:pPr>
              <w:keepLines/>
              <w:spacing w:before="40" w:after="40" w:line="190" w:lineRule="exact"/>
              <w:jc w:val="center"/>
              <w:rPr>
                <w:b/>
                <w:bCs/>
                <w:sz w:val="20"/>
                <w:szCs w:val="20"/>
              </w:rPr>
            </w:pPr>
            <w:r w:rsidRPr="004E2C40">
              <w:rPr>
                <w:b/>
                <w:bCs/>
                <w:sz w:val="20"/>
                <w:szCs w:val="20"/>
              </w:rPr>
              <w:t>Entire section</w:t>
            </w:r>
          </w:p>
        </w:tc>
        <w:tc>
          <w:tcPr>
            <w:tcW w:w="938" w:type="dxa"/>
            <w:tcBorders>
              <w:top w:val="single" w:sz="6" w:space="0" w:color="auto"/>
              <w:left w:val="single" w:sz="6" w:space="0" w:color="auto"/>
              <w:bottom w:val="single" w:sz="6" w:space="0" w:color="auto"/>
              <w:right w:val="single" w:sz="6" w:space="0" w:color="auto"/>
            </w:tcBorders>
          </w:tcPr>
          <w:p w14:paraId="17A4ED9A" w14:textId="2F14C1B0" w:rsidR="00863150" w:rsidRPr="004E2C40" w:rsidRDefault="0A0C67F5">
            <w:pPr>
              <w:keepLines/>
              <w:spacing w:before="40" w:after="40" w:line="190" w:lineRule="exact"/>
              <w:jc w:val="center"/>
              <w:rPr>
                <w:b/>
                <w:bCs/>
                <w:sz w:val="20"/>
                <w:szCs w:val="20"/>
              </w:rPr>
            </w:pPr>
            <w:proofErr w:type="spellStart"/>
            <w:r w:rsidRPr="004E2C40">
              <w:rPr>
                <w:b/>
                <w:bCs/>
                <w:sz w:val="20"/>
                <w:szCs w:val="20"/>
              </w:rPr>
              <w:t>te</w:t>
            </w:r>
            <w:proofErr w:type="spellEnd"/>
          </w:p>
        </w:tc>
        <w:tc>
          <w:tcPr>
            <w:tcW w:w="4444" w:type="dxa"/>
            <w:tcBorders>
              <w:top w:val="single" w:sz="6" w:space="0" w:color="auto"/>
              <w:left w:val="single" w:sz="6" w:space="0" w:color="auto"/>
              <w:bottom w:val="single" w:sz="6" w:space="0" w:color="auto"/>
              <w:right w:val="single" w:sz="6" w:space="0" w:color="auto"/>
            </w:tcBorders>
          </w:tcPr>
          <w:p w14:paraId="0173A4CB" w14:textId="1D657F41" w:rsidR="00863150" w:rsidRPr="004E2C40" w:rsidRDefault="4180BC21" w:rsidP="5D0333FE">
            <w:pPr>
              <w:keepLines/>
              <w:spacing w:before="40" w:after="40" w:line="190" w:lineRule="exact"/>
              <w:rPr>
                <w:b/>
                <w:bCs/>
                <w:sz w:val="20"/>
                <w:szCs w:val="20"/>
              </w:rPr>
            </w:pPr>
            <w:r w:rsidRPr="004E2C40">
              <w:rPr>
                <w:b/>
                <w:bCs/>
                <w:sz w:val="20"/>
                <w:szCs w:val="20"/>
              </w:rPr>
              <w:t>A harvest function is employed to estimate biomass harvest from 2010 to 2050, which considers a pressure index, consumption, and wood fuel generated as by-products from deforestation.</w:t>
            </w:r>
          </w:p>
          <w:p w14:paraId="28A51326" w14:textId="4DF3F1FE" w:rsidR="00863150" w:rsidRPr="004E2C40" w:rsidRDefault="00863150" w:rsidP="5D0333FE">
            <w:pPr>
              <w:keepLines/>
              <w:spacing w:before="40" w:after="40" w:line="190" w:lineRule="exact"/>
              <w:rPr>
                <w:b/>
                <w:bCs/>
                <w:sz w:val="20"/>
                <w:szCs w:val="20"/>
              </w:rPr>
            </w:pPr>
          </w:p>
          <w:p w14:paraId="7F5C8C31" w14:textId="5E6DF4D9" w:rsidR="00863150" w:rsidRPr="004E2C40" w:rsidRDefault="4180BC21" w:rsidP="5D0333FE">
            <w:pPr>
              <w:keepLines/>
              <w:spacing w:before="40" w:after="40" w:line="190" w:lineRule="exact"/>
              <w:rPr>
                <w:sz w:val="20"/>
                <w:szCs w:val="20"/>
              </w:rPr>
            </w:pPr>
            <w:r w:rsidRPr="004E2C40">
              <w:rPr>
                <w:b/>
                <w:bCs/>
                <w:sz w:val="20"/>
                <w:szCs w:val="20"/>
              </w:rPr>
              <w:t>However, the report lacks detailed information on how the pressure index is determined. Consequently, an understanding of the inclusion of the friction factor and related assumptions, which are calculated from distance and elevation to estimate accessibility, is missing.</w:t>
            </w:r>
          </w:p>
          <w:p w14:paraId="7372A2FF" w14:textId="2E9CBF22" w:rsidR="00863150" w:rsidRPr="004E2C40" w:rsidRDefault="00863150" w:rsidP="5D0333FE">
            <w:pPr>
              <w:keepLines/>
              <w:spacing w:before="40" w:after="40" w:line="190" w:lineRule="exact"/>
              <w:rPr>
                <w:b/>
                <w:bCs/>
                <w:sz w:val="20"/>
                <w:szCs w:val="20"/>
              </w:rPr>
            </w:pPr>
          </w:p>
          <w:p w14:paraId="2D3BF554" w14:textId="5B2512AB" w:rsidR="00863150" w:rsidRPr="004E2C40" w:rsidRDefault="4180BC21" w:rsidP="07F4AF5B">
            <w:pPr>
              <w:keepLines/>
              <w:spacing w:before="40" w:after="40" w:line="190" w:lineRule="exact"/>
              <w:rPr>
                <w:sz w:val="20"/>
                <w:szCs w:val="20"/>
              </w:rPr>
            </w:pPr>
            <w:r w:rsidRPr="004E2C40">
              <w:rPr>
                <w:b/>
                <w:bCs/>
                <w:sz w:val="20"/>
                <w:szCs w:val="20"/>
              </w:rPr>
              <w:t xml:space="preserve">Furthermore, the </w:t>
            </w:r>
            <w:r w:rsidR="78FB4045" w:rsidRPr="004E2C40">
              <w:rPr>
                <w:b/>
                <w:bCs/>
                <w:sz w:val="20"/>
                <w:szCs w:val="20"/>
              </w:rPr>
              <w:t>accuracy of the harvest function is not reported</w:t>
            </w:r>
            <w:r w:rsidRPr="004E2C40">
              <w:rPr>
                <w:b/>
                <w:bCs/>
                <w:sz w:val="20"/>
                <w:szCs w:val="20"/>
              </w:rPr>
              <w:t xml:space="preserve"> in the document. Therefore, the model necessitates validation and verification to ensure the reliability of its results.</w:t>
            </w:r>
          </w:p>
        </w:tc>
        <w:tc>
          <w:tcPr>
            <w:tcW w:w="3971" w:type="dxa"/>
            <w:tcBorders>
              <w:top w:val="single" w:sz="6" w:space="0" w:color="auto"/>
              <w:left w:val="single" w:sz="6" w:space="0" w:color="auto"/>
              <w:bottom w:val="single" w:sz="6" w:space="0" w:color="auto"/>
              <w:right w:val="single" w:sz="6" w:space="0" w:color="auto"/>
            </w:tcBorders>
          </w:tcPr>
          <w:p w14:paraId="25CDB373" w14:textId="09F45622" w:rsidR="00863150" w:rsidRPr="004E2C40" w:rsidRDefault="4180BC21" w:rsidP="5D0333FE">
            <w:pPr>
              <w:keepLines/>
              <w:spacing w:before="40" w:after="40" w:line="190" w:lineRule="exact"/>
              <w:rPr>
                <w:b/>
                <w:bCs/>
                <w:sz w:val="20"/>
                <w:szCs w:val="20"/>
              </w:rPr>
            </w:pPr>
            <w:r w:rsidRPr="004E2C40">
              <w:rPr>
                <w:b/>
                <w:bCs/>
                <w:sz w:val="20"/>
                <w:szCs w:val="20"/>
              </w:rPr>
              <w:t>The report should incorporate a description of the calculation of the pressure index and the friction factor, along with an explanation of the relationship between these elements. Additionally, it is crucial to provide justification for the assumptions and methods employed in determining the friction factors.</w:t>
            </w:r>
          </w:p>
          <w:p w14:paraId="35E84645" w14:textId="5161B6CC" w:rsidR="00863150" w:rsidRPr="004E2C40" w:rsidRDefault="00863150" w:rsidP="5D0333FE">
            <w:pPr>
              <w:keepLines/>
              <w:spacing w:before="40" w:after="40" w:line="190" w:lineRule="exact"/>
              <w:rPr>
                <w:b/>
                <w:bCs/>
                <w:sz w:val="20"/>
                <w:szCs w:val="20"/>
              </w:rPr>
            </w:pPr>
          </w:p>
          <w:p w14:paraId="7EE1F181" w14:textId="4E560759" w:rsidR="00863150" w:rsidRPr="004E2C40" w:rsidRDefault="4180BC21" w:rsidP="5D0333FE">
            <w:pPr>
              <w:keepLines/>
              <w:spacing w:before="40" w:after="40" w:line="190" w:lineRule="exact"/>
              <w:rPr>
                <w:sz w:val="20"/>
                <w:szCs w:val="20"/>
              </w:rPr>
            </w:pPr>
            <w:r w:rsidRPr="004E2C40">
              <w:rPr>
                <w:b/>
                <w:bCs/>
                <w:sz w:val="20"/>
                <w:szCs w:val="20"/>
              </w:rPr>
              <w:t>Furthermore, an assessment for validating and verifying the harvest function should be conducted, and the report should include a dedicated section addressing the accuracy and reliability of this function. This step will enhance the overall credibility of the model's results.</w:t>
            </w:r>
          </w:p>
          <w:p w14:paraId="703F5CD2" w14:textId="2D2F2016" w:rsidR="00863150" w:rsidRPr="004E2C40" w:rsidRDefault="00863150" w:rsidP="07F4AF5B">
            <w:pPr>
              <w:keepLines/>
              <w:spacing w:before="40" w:after="40" w:line="190" w:lineRule="exact"/>
              <w:rPr>
                <w:b/>
                <w:bCs/>
                <w:sz w:val="20"/>
                <w:szCs w:val="20"/>
              </w:rPr>
            </w:pP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49D8E52A" w14:textId="77777777" w:rsidR="00863150" w:rsidRPr="004E2C40" w:rsidRDefault="00863150">
            <w:pPr>
              <w:keepLines/>
              <w:spacing w:before="40" w:after="40" w:line="190" w:lineRule="exact"/>
              <w:jc w:val="center"/>
              <w:rPr>
                <w:b/>
                <w:bCs/>
                <w:sz w:val="20"/>
                <w:szCs w:val="20"/>
              </w:rPr>
            </w:pPr>
          </w:p>
        </w:tc>
      </w:tr>
      <w:tr w:rsidR="00863150" w:rsidRPr="004E2C40" w14:paraId="0554E67B"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424CB2D2" w14:textId="1E04E7ED" w:rsidR="00863150" w:rsidRPr="004E2C40" w:rsidRDefault="000068A7">
            <w:pPr>
              <w:keepLines/>
              <w:spacing w:before="40" w:after="40" w:line="190" w:lineRule="exact"/>
              <w:jc w:val="center"/>
              <w:rPr>
                <w:b/>
                <w:bCs/>
                <w:sz w:val="20"/>
                <w:szCs w:val="20"/>
              </w:rPr>
            </w:pPr>
            <w:r w:rsidRPr="004E2C40">
              <w:rPr>
                <w:b/>
                <w:bCs/>
                <w:sz w:val="20"/>
                <w:szCs w:val="20"/>
              </w:rPr>
              <w:lastRenderedPageBreak/>
              <w:t>9</w:t>
            </w:r>
          </w:p>
        </w:tc>
        <w:tc>
          <w:tcPr>
            <w:tcW w:w="2272" w:type="dxa"/>
            <w:gridSpan w:val="2"/>
            <w:tcBorders>
              <w:top w:val="single" w:sz="6" w:space="0" w:color="auto"/>
              <w:left w:val="single" w:sz="6" w:space="0" w:color="auto"/>
              <w:bottom w:val="single" w:sz="6" w:space="0" w:color="auto"/>
              <w:right w:val="single" w:sz="6" w:space="0" w:color="auto"/>
            </w:tcBorders>
          </w:tcPr>
          <w:p w14:paraId="2ED16EAA" w14:textId="6618949A" w:rsidR="00863150" w:rsidRPr="004E2C40" w:rsidRDefault="5A080A57" w:rsidP="5D0333FE">
            <w:pPr>
              <w:keepLines/>
              <w:spacing w:before="40" w:after="40" w:line="190" w:lineRule="exact"/>
              <w:jc w:val="center"/>
              <w:rPr>
                <w:b/>
                <w:bCs/>
                <w:sz w:val="20"/>
                <w:szCs w:val="20"/>
              </w:rPr>
            </w:pPr>
            <w:r w:rsidRPr="004E2C40">
              <w:rPr>
                <w:b/>
                <w:bCs/>
                <w:sz w:val="20"/>
                <w:szCs w:val="20"/>
              </w:rPr>
              <w:t>Quantifying consumption</w:t>
            </w:r>
          </w:p>
          <w:p w14:paraId="1374F3E4" w14:textId="4E587807" w:rsidR="00863150" w:rsidRPr="004E2C40" w:rsidRDefault="5A080A57">
            <w:pPr>
              <w:keepLines/>
              <w:spacing w:before="40" w:after="40" w:line="190" w:lineRule="exact"/>
              <w:jc w:val="center"/>
              <w:rPr>
                <w:b/>
                <w:bCs/>
                <w:sz w:val="20"/>
                <w:szCs w:val="20"/>
              </w:rPr>
            </w:pPr>
            <w:r w:rsidRPr="004E2C40">
              <w:rPr>
                <w:b/>
                <w:bCs/>
                <w:sz w:val="20"/>
                <w:szCs w:val="20"/>
              </w:rPr>
              <w:t>Pg 26</w:t>
            </w:r>
          </w:p>
        </w:tc>
        <w:tc>
          <w:tcPr>
            <w:tcW w:w="966" w:type="dxa"/>
            <w:tcBorders>
              <w:top w:val="single" w:sz="6" w:space="0" w:color="auto"/>
              <w:left w:val="single" w:sz="6" w:space="0" w:color="auto"/>
              <w:bottom w:val="single" w:sz="6" w:space="0" w:color="auto"/>
              <w:right w:val="single" w:sz="6" w:space="0" w:color="auto"/>
            </w:tcBorders>
          </w:tcPr>
          <w:p w14:paraId="08BD1DE4" w14:textId="4835CD16" w:rsidR="00863150" w:rsidRPr="004E2C40" w:rsidRDefault="5A080A57">
            <w:pPr>
              <w:keepLines/>
              <w:spacing w:before="40" w:after="40" w:line="190" w:lineRule="exact"/>
              <w:jc w:val="center"/>
              <w:rPr>
                <w:b/>
                <w:bCs/>
                <w:sz w:val="20"/>
                <w:szCs w:val="20"/>
              </w:rPr>
            </w:pPr>
            <w:r w:rsidRPr="004E2C40">
              <w:rPr>
                <w:b/>
                <w:bCs/>
                <w:sz w:val="20"/>
                <w:szCs w:val="20"/>
              </w:rPr>
              <w:t>Entire section</w:t>
            </w:r>
          </w:p>
        </w:tc>
        <w:tc>
          <w:tcPr>
            <w:tcW w:w="938" w:type="dxa"/>
            <w:tcBorders>
              <w:top w:val="single" w:sz="6" w:space="0" w:color="auto"/>
              <w:left w:val="single" w:sz="6" w:space="0" w:color="auto"/>
              <w:bottom w:val="single" w:sz="6" w:space="0" w:color="auto"/>
              <w:right w:val="single" w:sz="6" w:space="0" w:color="auto"/>
            </w:tcBorders>
          </w:tcPr>
          <w:p w14:paraId="5A305FCF" w14:textId="2F74AA34" w:rsidR="00863150" w:rsidRPr="004E2C40" w:rsidRDefault="324D98FD">
            <w:pPr>
              <w:keepLines/>
              <w:spacing w:before="40" w:after="40" w:line="190" w:lineRule="exact"/>
              <w:jc w:val="center"/>
              <w:rPr>
                <w:b/>
                <w:bCs/>
                <w:sz w:val="20"/>
                <w:szCs w:val="20"/>
              </w:rPr>
            </w:pPr>
            <w:proofErr w:type="spellStart"/>
            <w:r w:rsidRPr="004E2C40">
              <w:rPr>
                <w:b/>
                <w:bCs/>
                <w:sz w:val="20"/>
                <w:szCs w:val="20"/>
              </w:rPr>
              <w:t>te</w:t>
            </w:r>
            <w:proofErr w:type="spellEnd"/>
          </w:p>
        </w:tc>
        <w:tc>
          <w:tcPr>
            <w:tcW w:w="4444" w:type="dxa"/>
            <w:tcBorders>
              <w:top w:val="single" w:sz="6" w:space="0" w:color="auto"/>
              <w:left w:val="single" w:sz="6" w:space="0" w:color="auto"/>
              <w:bottom w:val="single" w:sz="6" w:space="0" w:color="auto"/>
              <w:right w:val="single" w:sz="6" w:space="0" w:color="auto"/>
            </w:tcBorders>
          </w:tcPr>
          <w:p w14:paraId="201C9CAB" w14:textId="7FB69DEA" w:rsidR="00863150" w:rsidRPr="004E2C40" w:rsidRDefault="2739C51E" w:rsidP="5D0333FE">
            <w:pPr>
              <w:keepLines/>
              <w:spacing w:before="40" w:after="40" w:line="190" w:lineRule="exact"/>
              <w:rPr>
                <w:b/>
                <w:bCs/>
                <w:sz w:val="20"/>
                <w:szCs w:val="20"/>
              </w:rPr>
            </w:pPr>
            <w:r w:rsidRPr="004E2C40">
              <w:rPr>
                <w:b/>
                <w:bCs/>
                <w:sz w:val="20"/>
                <w:szCs w:val="20"/>
              </w:rPr>
              <w:t>The assumptions related to per capita wood fuel consumption can potentially result in either overestimation or underestimation. The application of the UNFCCC default value of 0.4 across the entire African region, coupled with the exclusion of commercial wood products from the analysis, neglects country-specific consumption patterns.</w:t>
            </w:r>
            <w:r w:rsidR="00ED333D">
              <w:rPr>
                <w:b/>
                <w:bCs/>
                <w:sz w:val="20"/>
                <w:szCs w:val="20"/>
              </w:rPr>
              <w:t xml:space="preserve"> For example</w:t>
            </w:r>
            <w:r w:rsidR="00222758">
              <w:rPr>
                <w:b/>
                <w:bCs/>
                <w:sz w:val="20"/>
                <w:szCs w:val="20"/>
              </w:rPr>
              <w:t xml:space="preserve">, the FAO (2019) reports </w:t>
            </w:r>
            <w:r w:rsidR="007965B6">
              <w:rPr>
                <w:b/>
                <w:bCs/>
                <w:sz w:val="20"/>
                <w:szCs w:val="20"/>
              </w:rPr>
              <w:t xml:space="preserve">per capita </w:t>
            </w:r>
            <w:r w:rsidR="00BA33D5">
              <w:rPr>
                <w:b/>
                <w:bCs/>
                <w:sz w:val="20"/>
                <w:szCs w:val="20"/>
              </w:rPr>
              <w:t>consumption of</w:t>
            </w:r>
            <w:r w:rsidR="007965B6">
              <w:rPr>
                <w:b/>
                <w:bCs/>
                <w:sz w:val="20"/>
                <w:szCs w:val="20"/>
              </w:rPr>
              <w:t xml:space="preserve"> </w:t>
            </w:r>
            <w:proofErr w:type="spellStart"/>
            <w:r w:rsidR="007965B6">
              <w:rPr>
                <w:b/>
                <w:bCs/>
                <w:sz w:val="20"/>
                <w:szCs w:val="20"/>
              </w:rPr>
              <w:t>woodfuel</w:t>
            </w:r>
            <w:proofErr w:type="spellEnd"/>
            <w:r w:rsidR="00BA33D5">
              <w:rPr>
                <w:b/>
                <w:bCs/>
                <w:sz w:val="20"/>
                <w:szCs w:val="20"/>
              </w:rPr>
              <w:t xml:space="preserve"> of 1.14 t/year in Ghana, which is considerably higher than the 0.4 t/year</w:t>
            </w:r>
            <w:r w:rsidR="00B0451A">
              <w:rPr>
                <w:b/>
                <w:bCs/>
                <w:sz w:val="20"/>
                <w:szCs w:val="20"/>
              </w:rPr>
              <w:t xml:space="preserve">/per capital default value used in the </w:t>
            </w:r>
            <w:proofErr w:type="spellStart"/>
            <w:r w:rsidR="00B0451A">
              <w:rPr>
                <w:b/>
                <w:bCs/>
                <w:sz w:val="20"/>
                <w:szCs w:val="20"/>
              </w:rPr>
              <w:t>MoFuSS</w:t>
            </w:r>
            <w:proofErr w:type="spellEnd"/>
            <w:r w:rsidR="00B0451A">
              <w:rPr>
                <w:b/>
                <w:bCs/>
                <w:sz w:val="20"/>
                <w:szCs w:val="20"/>
              </w:rPr>
              <w:t xml:space="preserve"> model.</w:t>
            </w:r>
          </w:p>
          <w:p w14:paraId="5E88C713" w14:textId="69165C19" w:rsidR="00863150" w:rsidRPr="004E2C40" w:rsidRDefault="00863150" w:rsidP="5D0333FE">
            <w:pPr>
              <w:keepLines/>
              <w:spacing w:before="40" w:after="40" w:line="190" w:lineRule="exact"/>
              <w:rPr>
                <w:b/>
                <w:bCs/>
                <w:sz w:val="20"/>
                <w:szCs w:val="20"/>
              </w:rPr>
            </w:pPr>
          </w:p>
          <w:p w14:paraId="0CD879F2" w14:textId="5E3B5762" w:rsidR="00863150" w:rsidRPr="004E2C40" w:rsidRDefault="0086577F" w:rsidP="07F4AF5B">
            <w:pPr>
              <w:keepLines/>
              <w:spacing w:before="40" w:after="40" w:line="190" w:lineRule="exact"/>
              <w:rPr>
                <w:b/>
                <w:bCs/>
                <w:sz w:val="20"/>
                <w:szCs w:val="20"/>
              </w:rPr>
            </w:pPr>
            <w:r w:rsidRPr="004E2C40">
              <w:rPr>
                <w:b/>
                <w:bCs/>
                <w:sz w:val="20"/>
                <w:szCs w:val="20"/>
              </w:rPr>
              <w:t xml:space="preserve">The </w:t>
            </w:r>
            <w:r w:rsidR="001D14E0" w:rsidRPr="004E2C40">
              <w:rPr>
                <w:b/>
                <w:bCs/>
                <w:sz w:val="20"/>
                <w:szCs w:val="20"/>
              </w:rPr>
              <w:t xml:space="preserve">CDM TOOL30-based methodology we </w:t>
            </w:r>
            <w:r w:rsidR="009B1395" w:rsidRPr="004E2C40">
              <w:rPr>
                <w:b/>
                <w:bCs/>
                <w:sz w:val="20"/>
                <w:szCs w:val="20"/>
              </w:rPr>
              <w:t>rely</w:t>
            </w:r>
            <w:r w:rsidR="001D14E0" w:rsidRPr="004E2C40">
              <w:rPr>
                <w:b/>
                <w:bCs/>
                <w:sz w:val="20"/>
                <w:szCs w:val="20"/>
              </w:rPr>
              <w:t xml:space="preserve"> </w:t>
            </w:r>
            <w:r w:rsidR="009B1395" w:rsidRPr="004E2C40">
              <w:rPr>
                <w:b/>
                <w:bCs/>
                <w:sz w:val="20"/>
                <w:szCs w:val="20"/>
              </w:rPr>
              <w:t xml:space="preserve">on </w:t>
            </w:r>
            <w:r w:rsidR="001D14E0" w:rsidRPr="004E2C40">
              <w:rPr>
                <w:b/>
                <w:bCs/>
                <w:sz w:val="20"/>
                <w:szCs w:val="20"/>
              </w:rPr>
              <w:t xml:space="preserve">to determine fNRB values </w:t>
            </w:r>
            <w:r w:rsidR="1E27ADD9" w:rsidRPr="004E2C40">
              <w:rPr>
                <w:b/>
                <w:bCs/>
                <w:sz w:val="20"/>
                <w:szCs w:val="20"/>
              </w:rPr>
              <w:t>make</w:t>
            </w:r>
            <w:r w:rsidR="009B1395" w:rsidRPr="004E2C40">
              <w:rPr>
                <w:b/>
                <w:bCs/>
                <w:sz w:val="20"/>
                <w:szCs w:val="20"/>
              </w:rPr>
              <w:t>s</w:t>
            </w:r>
            <w:r w:rsidR="1E27ADD9" w:rsidRPr="004E2C40">
              <w:rPr>
                <w:b/>
                <w:bCs/>
                <w:sz w:val="20"/>
                <w:szCs w:val="20"/>
              </w:rPr>
              <w:t xml:space="preserve"> use of the latest country specific </w:t>
            </w:r>
            <w:r w:rsidR="6D30CA43" w:rsidRPr="004E2C40">
              <w:rPr>
                <w:b/>
                <w:bCs/>
                <w:sz w:val="20"/>
                <w:szCs w:val="20"/>
              </w:rPr>
              <w:t xml:space="preserve">national </w:t>
            </w:r>
            <w:r w:rsidR="1E27ADD9" w:rsidRPr="004E2C40">
              <w:rPr>
                <w:b/>
                <w:bCs/>
                <w:sz w:val="20"/>
                <w:szCs w:val="20"/>
              </w:rPr>
              <w:t xml:space="preserve">per capita consumption values sourced from the FAO and include wood fuel, wood charcoal, industrial roundwood, </w:t>
            </w:r>
            <w:r w:rsidR="7B240B43" w:rsidRPr="004E2C40">
              <w:rPr>
                <w:b/>
                <w:bCs/>
                <w:sz w:val="20"/>
                <w:szCs w:val="20"/>
              </w:rPr>
              <w:t>sawn wood</w:t>
            </w:r>
            <w:r w:rsidR="1E27ADD9" w:rsidRPr="004E2C40">
              <w:rPr>
                <w:b/>
                <w:bCs/>
                <w:sz w:val="20"/>
                <w:szCs w:val="20"/>
              </w:rPr>
              <w:t>, ve</w:t>
            </w:r>
            <w:r w:rsidR="713125CB" w:rsidRPr="004E2C40">
              <w:rPr>
                <w:b/>
                <w:bCs/>
                <w:sz w:val="20"/>
                <w:szCs w:val="20"/>
              </w:rPr>
              <w:t>neer sheets and wood-based panels.</w:t>
            </w:r>
          </w:p>
        </w:tc>
        <w:tc>
          <w:tcPr>
            <w:tcW w:w="3971" w:type="dxa"/>
            <w:tcBorders>
              <w:top w:val="single" w:sz="6" w:space="0" w:color="auto"/>
              <w:left w:val="single" w:sz="6" w:space="0" w:color="auto"/>
              <w:bottom w:val="single" w:sz="6" w:space="0" w:color="auto"/>
              <w:right w:val="single" w:sz="6" w:space="0" w:color="auto"/>
            </w:tcBorders>
          </w:tcPr>
          <w:p w14:paraId="1112DFD9" w14:textId="52C8D02B" w:rsidR="00863150" w:rsidRPr="004E2C40" w:rsidRDefault="2739C51E" w:rsidP="5D0333FE">
            <w:pPr>
              <w:keepLines/>
              <w:spacing w:before="40" w:after="40" w:line="190" w:lineRule="exact"/>
              <w:rPr>
                <w:b/>
                <w:bCs/>
                <w:sz w:val="20"/>
                <w:szCs w:val="20"/>
              </w:rPr>
            </w:pPr>
            <w:r w:rsidRPr="004E2C40">
              <w:rPr>
                <w:b/>
                <w:bCs/>
                <w:sz w:val="20"/>
                <w:szCs w:val="20"/>
              </w:rPr>
              <w:t>Instead of applying the default value, it is advisable to utilize the country-specific data derived from household surveys and PDDs for calculating consumption.</w:t>
            </w:r>
          </w:p>
          <w:p w14:paraId="0AF32EFC" w14:textId="616DCD93" w:rsidR="00863150" w:rsidRPr="004E2C40" w:rsidRDefault="00863150" w:rsidP="5D0333FE">
            <w:pPr>
              <w:keepLines/>
              <w:spacing w:before="40" w:after="40" w:line="190" w:lineRule="exact"/>
              <w:rPr>
                <w:b/>
                <w:bCs/>
                <w:sz w:val="20"/>
                <w:szCs w:val="20"/>
              </w:rPr>
            </w:pPr>
          </w:p>
          <w:p w14:paraId="67CAE20C" w14:textId="42B33C0B" w:rsidR="00863150" w:rsidRPr="004E2C40" w:rsidRDefault="2739C51E" w:rsidP="5D0333FE">
            <w:pPr>
              <w:keepLines/>
              <w:spacing w:before="40" w:after="40" w:line="190" w:lineRule="exact"/>
              <w:rPr>
                <w:sz w:val="20"/>
                <w:szCs w:val="20"/>
              </w:rPr>
            </w:pPr>
            <w:r w:rsidRPr="004E2C40">
              <w:rPr>
                <w:b/>
                <w:bCs/>
                <w:sz w:val="20"/>
                <w:szCs w:val="20"/>
              </w:rPr>
              <w:t>Furthermore, for each country, it is essential to ascertain the contribution of commercial wood production and the portion that is sustainably supplied before considering its removal from the analysis. This approach ensures a more accurate reflection of consumption patterns.</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6D4EDBD8" w14:textId="77777777" w:rsidR="00863150" w:rsidRPr="004E2C40" w:rsidRDefault="00863150">
            <w:pPr>
              <w:keepLines/>
              <w:spacing w:before="40" w:after="40" w:line="190" w:lineRule="exact"/>
              <w:jc w:val="center"/>
              <w:rPr>
                <w:b/>
                <w:bCs/>
                <w:sz w:val="20"/>
                <w:szCs w:val="20"/>
              </w:rPr>
            </w:pPr>
          </w:p>
        </w:tc>
      </w:tr>
      <w:tr w:rsidR="007D7E0D" w:rsidRPr="004E2C40" w14:paraId="0E02DDEE"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251ABDA6" w14:textId="2EB381E0" w:rsidR="007D7E0D" w:rsidRPr="004E2C40" w:rsidRDefault="000068A7" w:rsidP="007D7E0D">
            <w:pPr>
              <w:keepLines/>
              <w:spacing w:before="40" w:after="40" w:line="190" w:lineRule="exact"/>
              <w:jc w:val="center"/>
              <w:rPr>
                <w:b/>
                <w:bCs/>
                <w:sz w:val="20"/>
                <w:szCs w:val="20"/>
              </w:rPr>
            </w:pPr>
            <w:r w:rsidRPr="004E2C40">
              <w:rPr>
                <w:b/>
                <w:bCs/>
                <w:sz w:val="20"/>
                <w:szCs w:val="20"/>
              </w:rPr>
              <w:lastRenderedPageBreak/>
              <w:t>10</w:t>
            </w:r>
          </w:p>
        </w:tc>
        <w:tc>
          <w:tcPr>
            <w:tcW w:w="2272" w:type="dxa"/>
            <w:gridSpan w:val="2"/>
            <w:tcBorders>
              <w:top w:val="single" w:sz="6" w:space="0" w:color="auto"/>
              <w:left w:val="single" w:sz="6" w:space="0" w:color="auto"/>
              <w:bottom w:val="single" w:sz="6" w:space="0" w:color="auto"/>
              <w:right w:val="single" w:sz="6" w:space="0" w:color="auto"/>
            </w:tcBorders>
          </w:tcPr>
          <w:p w14:paraId="0DEA4F4B" w14:textId="4F7FB377" w:rsidR="007D7E0D" w:rsidRPr="004E2C40" w:rsidRDefault="007D7E0D" w:rsidP="007D7E0D">
            <w:pPr>
              <w:keepLines/>
              <w:spacing w:before="40" w:after="40" w:line="190" w:lineRule="exact"/>
              <w:jc w:val="center"/>
              <w:rPr>
                <w:b/>
                <w:bCs/>
                <w:sz w:val="20"/>
                <w:szCs w:val="20"/>
              </w:rPr>
            </w:pPr>
            <w:r w:rsidRPr="004E2C40">
              <w:rPr>
                <w:b/>
                <w:bCs/>
                <w:sz w:val="20"/>
                <w:szCs w:val="20"/>
              </w:rPr>
              <w:t>Para 16 – Page 5</w:t>
            </w:r>
          </w:p>
        </w:tc>
        <w:tc>
          <w:tcPr>
            <w:tcW w:w="966" w:type="dxa"/>
            <w:tcBorders>
              <w:top w:val="single" w:sz="6" w:space="0" w:color="auto"/>
              <w:left w:val="single" w:sz="6" w:space="0" w:color="auto"/>
              <w:bottom w:val="single" w:sz="6" w:space="0" w:color="auto"/>
              <w:right w:val="single" w:sz="6" w:space="0" w:color="auto"/>
            </w:tcBorders>
          </w:tcPr>
          <w:p w14:paraId="70F09662" w14:textId="747A3293" w:rsidR="007D7E0D" w:rsidRPr="004E2C40" w:rsidRDefault="007D7E0D" w:rsidP="007D7E0D">
            <w:pPr>
              <w:keepLines/>
              <w:spacing w:before="40" w:after="40" w:line="190" w:lineRule="exact"/>
              <w:jc w:val="center"/>
              <w:rPr>
                <w:b/>
                <w:bCs/>
                <w:sz w:val="20"/>
                <w:szCs w:val="20"/>
              </w:rPr>
            </w:pPr>
            <w:r w:rsidRPr="004E2C40">
              <w:rPr>
                <w:b/>
                <w:bCs/>
                <w:sz w:val="20"/>
                <w:szCs w:val="20"/>
              </w:rPr>
              <w:t xml:space="preserve"> </w:t>
            </w:r>
            <w:r w:rsidR="00E323F4" w:rsidRPr="004E2C40">
              <w:rPr>
                <w:b/>
                <w:bCs/>
                <w:sz w:val="20"/>
                <w:szCs w:val="20"/>
              </w:rPr>
              <w:t>Entire paragraph</w:t>
            </w:r>
          </w:p>
        </w:tc>
        <w:tc>
          <w:tcPr>
            <w:tcW w:w="938" w:type="dxa"/>
            <w:tcBorders>
              <w:top w:val="single" w:sz="6" w:space="0" w:color="auto"/>
              <w:left w:val="single" w:sz="6" w:space="0" w:color="auto"/>
              <w:bottom w:val="single" w:sz="6" w:space="0" w:color="auto"/>
              <w:right w:val="single" w:sz="6" w:space="0" w:color="auto"/>
            </w:tcBorders>
          </w:tcPr>
          <w:p w14:paraId="58C618E6" w14:textId="4051FECA" w:rsidR="007D7E0D" w:rsidRPr="004E2C40" w:rsidRDefault="00E323F4" w:rsidP="007D7E0D">
            <w:pPr>
              <w:keepLines/>
              <w:spacing w:before="40" w:after="40" w:line="190" w:lineRule="exact"/>
              <w:jc w:val="center"/>
              <w:rPr>
                <w:b/>
                <w:bCs/>
                <w:sz w:val="20"/>
                <w:szCs w:val="20"/>
              </w:rPr>
            </w:pPr>
            <w:proofErr w:type="spellStart"/>
            <w:r w:rsidRPr="004E2C40">
              <w:rPr>
                <w:b/>
                <w:bCs/>
                <w:sz w:val="20"/>
                <w:szCs w:val="20"/>
              </w:rPr>
              <w:t>ge</w:t>
            </w:r>
            <w:proofErr w:type="spellEnd"/>
          </w:p>
        </w:tc>
        <w:tc>
          <w:tcPr>
            <w:tcW w:w="4444" w:type="dxa"/>
            <w:tcBorders>
              <w:top w:val="single" w:sz="6" w:space="0" w:color="auto"/>
              <w:left w:val="single" w:sz="6" w:space="0" w:color="auto"/>
              <w:bottom w:val="single" w:sz="6" w:space="0" w:color="auto"/>
              <w:right w:val="single" w:sz="6" w:space="0" w:color="auto"/>
            </w:tcBorders>
          </w:tcPr>
          <w:p w14:paraId="6198E93A" w14:textId="1FCFB9EE" w:rsidR="007D7E0D" w:rsidRPr="004E2C40" w:rsidRDefault="007D7E0D" w:rsidP="007D7E0D">
            <w:pPr>
              <w:keepLines/>
              <w:spacing w:before="40" w:after="40" w:line="190" w:lineRule="exact"/>
              <w:rPr>
                <w:b/>
                <w:bCs/>
                <w:sz w:val="20"/>
                <w:szCs w:val="20"/>
              </w:rPr>
            </w:pPr>
            <w:r w:rsidRPr="004E2C40">
              <w:rPr>
                <w:b/>
                <w:bCs/>
                <w:sz w:val="20"/>
                <w:szCs w:val="20"/>
              </w:rPr>
              <w:t xml:space="preserve">The final fNRB numbers calculated by “the model </w:t>
            </w:r>
            <w:proofErr w:type="gramStart"/>
            <w:r w:rsidRPr="004E2C40">
              <w:rPr>
                <w:b/>
                <w:bCs/>
                <w:sz w:val="20"/>
                <w:szCs w:val="20"/>
              </w:rPr>
              <w:t>are</w:t>
            </w:r>
            <w:proofErr w:type="gramEnd"/>
            <w:r w:rsidRPr="004E2C40">
              <w:rPr>
                <w:b/>
                <w:bCs/>
                <w:sz w:val="20"/>
                <w:szCs w:val="20"/>
              </w:rPr>
              <w:t xml:space="preserve"> based on fuelwood projections that rely on two simple parameters”: the number of users and the amount per user</w:t>
            </w:r>
            <w:r w:rsidR="00B45B53" w:rsidRPr="004E2C40">
              <w:rPr>
                <w:b/>
                <w:bCs/>
                <w:sz w:val="20"/>
                <w:szCs w:val="20"/>
              </w:rPr>
              <w:t>.</w:t>
            </w:r>
            <w:r w:rsidRPr="004E2C40">
              <w:rPr>
                <w:b/>
                <w:bCs/>
                <w:sz w:val="20"/>
                <w:szCs w:val="20"/>
              </w:rPr>
              <w:t xml:space="preserve"> </w:t>
            </w:r>
          </w:p>
          <w:p w14:paraId="42385380" w14:textId="79333896" w:rsidR="007D7E0D" w:rsidRPr="004E2C40" w:rsidRDefault="007D7E0D" w:rsidP="007D7E0D">
            <w:pPr>
              <w:keepLines/>
              <w:spacing w:before="40" w:after="40" w:line="190" w:lineRule="exact"/>
              <w:rPr>
                <w:b/>
                <w:bCs/>
                <w:sz w:val="20"/>
                <w:szCs w:val="20"/>
              </w:rPr>
            </w:pPr>
            <w:r w:rsidRPr="004E2C40">
              <w:rPr>
                <w:b/>
                <w:bCs/>
                <w:sz w:val="20"/>
                <w:szCs w:val="20"/>
              </w:rPr>
              <w:t>Nonetheless, when</w:t>
            </w:r>
            <w:r w:rsidR="009B49BB" w:rsidRPr="004E2C40">
              <w:rPr>
                <w:b/>
                <w:bCs/>
                <w:sz w:val="20"/>
                <w:szCs w:val="20"/>
              </w:rPr>
              <w:t xml:space="preserve"> cross-validated against other sources/datasets</w:t>
            </w:r>
            <w:r w:rsidRPr="004E2C40">
              <w:rPr>
                <w:b/>
                <w:bCs/>
                <w:sz w:val="20"/>
                <w:szCs w:val="20"/>
              </w:rPr>
              <w:t xml:space="preserve">, it is quite clear that SSA is the only region in the world that has been experiencing increases in deforestation, </w:t>
            </w:r>
            <w:r w:rsidR="00E323F4" w:rsidRPr="004E2C40">
              <w:rPr>
                <w:b/>
                <w:bCs/>
                <w:sz w:val="20"/>
                <w:szCs w:val="20"/>
              </w:rPr>
              <w:t>i.e.,</w:t>
            </w:r>
            <w:r w:rsidRPr="004E2C40">
              <w:rPr>
                <w:b/>
                <w:bCs/>
                <w:sz w:val="20"/>
                <w:szCs w:val="20"/>
              </w:rPr>
              <w:t xml:space="preserve"> accelerated rates. </w:t>
            </w:r>
            <w:r w:rsidR="009B49BB" w:rsidRPr="004E2C40">
              <w:rPr>
                <w:b/>
                <w:bCs/>
                <w:sz w:val="20"/>
                <w:szCs w:val="20"/>
              </w:rPr>
              <w:t xml:space="preserve">The </w:t>
            </w:r>
            <w:r w:rsidRPr="004E2C40">
              <w:rPr>
                <w:b/>
                <w:bCs/>
                <w:sz w:val="20"/>
                <w:szCs w:val="20"/>
              </w:rPr>
              <w:t>FAO</w:t>
            </w:r>
            <w:r w:rsidR="009B49BB" w:rsidRPr="004E2C40">
              <w:rPr>
                <w:b/>
                <w:bCs/>
                <w:sz w:val="20"/>
                <w:szCs w:val="20"/>
              </w:rPr>
              <w:t>’s</w:t>
            </w:r>
            <w:r w:rsidRPr="004E2C40">
              <w:rPr>
                <w:b/>
                <w:bCs/>
                <w:sz w:val="20"/>
                <w:szCs w:val="20"/>
              </w:rPr>
              <w:t xml:space="preserve"> Forest Assessment Report</w:t>
            </w:r>
            <w:r w:rsidR="009B49BB" w:rsidRPr="004E2C40">
              <w:rPr>
                <w:b/>
                <w:bCs/>
                <w:sz w:val="20"/>
                <w:szCs w:val="20"/>
              </w:rPr>
              <w:t xml:space="preserve"> (</w:t>
            </w:r>
            <w:r w:rsidRPr="004E2C40">
              <w:rPr>
                <w:b/>
                <w:bCs/>
                <w:sz w:val="20"/>
                <w:szCs w:val="20"/>
              </w:rPr>
              <w:t>2020</w:t>
            </w:r>
            <w:r w:rsidR="009B49BB" w:rsidRPr="004E2C40">
              <w:rPr>
                <w:b/>
                <w:bCs/>
                <w:sz w:val="20"/>
                <w:szCs w:val="20"/>
              </w:rPr>
              <w:t>)</w:t>
            </w:r>
            <w:r w:rsidRPr="004E2C40">
              <w:rPr>
                <w:b/>
                <w:bCs/>
                <w:sz w:val="20"/>
                <w:szCs w:val="20"/>
              </w:rPr>
              <w:t xml:space="preserve"> for example indicates that forest loss in SSA has increased by more than 7 million hectares from 2010 to 2020 when compared to the losses from the previous decade. Moreover, when trends in populational growth and urbanization are considered (doubling population</w:t>
            </w:r>
            <w:r w:rsidR="003F05D1" w:rsidRPr="004E2C40">
              <w:rPr>
                <w:b/>
                <w:bCs/>
                <w:sz w:val="20"/>
                <w:szCs w:val="20"/>
              </w:rPr>
              <w:t xml:space="preserve"> in Africa</w:t>
            </w:r>
            <w:r w:rsidRPr="004E2C40">
              <w:rPr>
                <w:b/>
                <w:bCs/>
                <w:sz w:val="20"/>
                <w:szCs w:val="20"/>
              </w:rPr>
              <w:t xml:space="preserve"> in the next decade, World Bank 2022), deforestation and degradation pressures become even more explicit. </w:t>
            </w:r>
          </w:p>
          <w:p w14:paraId="05E831E4" w14:textId="77777777" w:rsidR="007D7E0D" w:rsidRPr="004E2C40" w:rsidRDefault="007D7E0D" w:rsidP="007D7E0D">
            <w:pPr>
              <w:keepLines/>
              <w:spacing w:before="40" w:after="40" w:line="190" w:lineRule="exact"/>
              <w:rPr>
                <w:b/>
                <w:bCs/>
                <w:sz w:val="20"/>
                <w:szCs w:val="20"/>
              </w:rPr>
            </w:pPr>
          </w:p>
          <w:p w14:paraId="37CEA9E2" w14:textId="77777777" w:rsidR="007D7E0D" w:rsidRPr="004E2C40" w:rsidRDefault="007D7E0D" w:rsidP="007D7E0D">
            <w:pPr>
              <w:keepLines/>
              <w:spacing w:before="40" w:after="40" w:line="190" w:lineRule="exact"/>
              <w:rPr>
                <w:b/>
                <w:bCs/>
                <w:sz w:val="20"/>
                <w:szCs w:val="20"/>
              </w:rPr>
            </w:pPr>
          </w:p>
          <w:p w14:paraId="0E580378" w14:textId="77777777" w:rsidR="007D7E0D" w:rsidRPr="004E2C40" w:rsidRDefault="007D7E0D" w:rsidP="007D7E0D">
            <w:pPr>
              <w:keepLines/>
              <w:spacing w:before="40" w:after="40" w:line="190" w:lineRule="exact"/>
              <w:jc w:val="center"/>
              <w:rPr>
                <w:b/>
                <w:bCs/>
                <w:sz w:val="20"/>
                <w:szCs w:val="20"/>
              </w:rPr>
            </w:pPr>
          </w:p>
          <w:p w14:paraId="6189C731" w14:textId="77777777" w:rsidR="007D7E0D" w:rsidRPr="004E2C40" w:rsidRDefault="007D7E0D" w:rsidP="007D7E0D">
            <w:pPr>
              <w:keepLines/>
              <w:spacing w:before="40" w:after="40" w:line="190" w:lineRule="exact"/>
              <w:jc w:val="center"/>
              <w:rPr>
                <w:b/>
                <w:bCs/>
                <w:sz w:val="20"/>
                <w:szCs w:val="20"/>
              </w:rPr>
            </w:pPr>
          </w:p>
          <w:p w14:paraId="7DAB9044" w14:textId="77777777" w:rsidR="007D7E0D" w:rsidRPr="004E2C40" w:rsidRDefault="007D7E0D" w:rsidP="007D7E0D">
            <w:pPr>
              <w:keepLines/>
              <w:spacing w:before="40" w:after="40" w:line="190" w:lineRule="exact"/>
              <w:jc w:val="center"/>
              <w:rPr>
                <w:b/>
                <w:bCs/>
                <w:sz w:val="20"/>
                <w:szCs w:val="20"/>
              </w:rPr>
            </w:pPr>
          </w:p>
          <w:p w14:paraId="39CA8F5E" w14:textId="77777777" w:rsidR="007D7E0D" w:rsidRPr="004E2C40" w:rsidRDefault="007D7E0D" w:rsidP="007D7E0D">
            <w:pPr>
              <w:keepLines/>
              <w:spacing w:before="40" w:after="40" w:line="190" w:lineRule="exact"/>
              <w:jc w:val="center"/>
              <w:rPr>
                <w:b/>
                <w:bCs/>
                <w:sz w:val="20"/>
                <w:szCs w:val="20"/>
              </w:rPr>
            </w:pPr>
          </w:p>
          <w:p w14:paraId="2AEADCFF" w14:textId="77777777" w:rsidR="007D7E0D" w:rsidRPr="004E2C40" w:rsidRDefault="007D7E0D" w:rsidP="007D7E0D">
            <w:pPr>
              <w:keepLines/>
              <w:spacing w:before="40" w:after="40" w:line="190" w:lineRule="exact"/>
              <w:jc w:val="center"/>
              <w:rPr>
                <w:b/>
                <w:bCs/>
                <w:sz w:val="20"/>
                <w:szCs w:val="20"/>
              </w:rPr>
            </w:pPr>
          </w:p>
          <w:p w14:paraId="42B60D97" w14:textId="5E7DB3D4" w:rsidR="007D7E0D" w:rsidRPr="004E2C40" w:rsidRDefault="007D7E0D" w:rsidP="007D7E0D">
            <w:pPr>
              <w:keepLines/>
              <w:spacing w:before="40" w:after="40" w:line="190" w:lineRule="exact"/>
              <w:rPr>
                <w:b/>
                <w:bCs/>
                <w:sz w:val="20"/>
                <w:szCs w:val="20"/>
              </w:rPr>
            </w:pPr>
          </w:p>
        </w:tc>
        <w:tc>
          <w:tcPr>
            <w:tcW w:w="3971" w:type="dxa"/>
            <w:tcBorders>
              <w:top w:val="single" w:sz="6" w:space="0" w:color="auto"/>
              <w:left w:val="single" w:sz="6" w:space="0" w:color="auto"/>
              <w:bottom w:val="single" w:sz="6" w:space="0" w:color="auto"/>
              <w:right w:val="single" w:sz="6" w:space="0" w:color="auto"/>
            </w:tcBorders>
          </w:tcPr>
          <w:p w14:paraId="0F2CDFEE" w14:textId="47EAD517" w:rsidR="007D7E0D" w:rsidRPr="004E2C40" w:rsidRDefault="007D7E0D" w:rsidP="007D7E0D">
            <w:pPr>
              <w:keepLines/>
              <w:spacing w:before="40" w:after="40" w:line="190" w:lineRule="exact"/>
              <w:rPr>
                <w:b/>
                <w:bCs/>
                <w:sz w:val="20"/>
                <w:szCs w:val="20"/>
                <w:highlight w:val="yellow"/>
              </w:rPr>
            </w:pPr>
            <w:r w:rsidRPr="004E2C40">
              <w:rPr>
                <w:b/>
                <w:bCs/>
                <w:sz w:val="20"/>
                <w:szCs w:val="20"/>
              </w:rPr>
              <w:t xml:space="preserve">Even though we understand the model is a result of multiple parameters and input data, we would strongly suggest that a general cross check of references regarding deforestation, </w:t>
            </w:r>
            <w:r w:rsidR="003C4C22" w:rsidRPr="004E2C40">
              <w:rPr>
                <w:b/>
                <w:bCs/>
                <w:sz w:val="20"/>
                <w:szCs w:val="20"/>
              </w:rPr>
              <w:t>population,</w:t>
            </w:r>
            <w:r w:rsidRPr="004E2C40">
              <w:rPr>
                <w:b/>
                <w:bCs/>
                <w:sz w:val="20"/>
                <w:szCs w:val="20"/>
              </w:rPr>
              <w:t xml:space="preserve"> and urbanization trends, as well as fuelwood projections in SSA be performed against the overall modelled results, since several sources indicate trends that often contradict stable or decreasing fNRB modest rates presented. Such a general cross check would go beyond the specific technical parameters we referred to in the previous documents since a broader cross check is likely to address qualitative analysis and literature review at the aggregate level. </w:t>
            </w:r>
          </w:p>
          <w:p w14:paraId="5D34321F" w14:textId="0217A2B0" w:rsidR="007D7E0D" w:rsidRPr="004E2C40" w:rsidRDefault="007D7E0D" w:rsidP="007D7E0D">
            <w:pPr>
              <w:keepLines/>
              <w:spacing w:before="40" w:after="40" w:line="240" w:lineRule="exact"/>
              <w:rPr>
                <w:sz w:val="20"/>
                <w:szCs w:val="20"/>
                <w:highlight w:val="green"/>
              </w:rPr>
            </w:pP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3673A80D" w14:textId="77777777" w:rsidR="007D7E0D" w:rsidRPr="004E2C40" w:rsidRDefault="007D7E0D" w:rsidP="007D7E0D">
            <w:pPr>
              <w:keepLines/>
              <w:spacing w:before="40" w:after="40" w:line="190" w:lineRule="exact"/>
              <w:jc w:val="center"/>
              <w:rPr>
                <w:b/>
                <w:bCs/>
                <w:sz w:val="20"/>
                <w:szCs w:val="20"/>
              </w:rPr>
            </w:pPr>
          </w:p>
        </w:tc>
      </w:tr>
      <w:tr w:rsidR="007D7E0D" w:rsidRPr="004E2C40" w14:paraId="5C9827B7" w14:textId="77777777" w:rsidTr="007D7E0D">
        <w:trPr>
          <w:cantSplit/>
          <w:trHeight w:val="300"/>
          <w:jc w:val="center"/>
        </w:trPr>
        <w:tc>
          <w:tcPr>
            <w:tcW w:w="349" w:type="dxa"/>
            <w:tcBorders>
              <w:top w:val="single" w:sz="6" w:space="0" w:color="auto"/>
              <w:left w:val="single" w:sz="6" w:space="0" w:color="auto"/>
              <w:bottom w:val="single" w:sz="6" w:space="0" w:color="auto"/>
              <w:right w:val="single" w:sz="6" w:space="0" w:color="auto"/>
            </w:tcBorders>
          </w:tcPr>
          <w:p w14:paraId="1F08B9D2" w14:textId="4D496B70" w:rsidR="007D7E0D" w:rsidRPr="004E2C40" w:rsidRDefault="000068A7" w:rsidP="007D7E0D">
            <w:pPr>
              <w:keepLines/>
              <w:spacing w:before="40" w:after="40" w:line="190" w:lineRule="exact"/>
              <w:jc w:val="center"/>
              <w:rPr>
                <w:b/>
                <w:bCs/>
                <w:sz w:val="20"/>
                <w:szCs w:val="20"/>
              </w:rPr>
            </w:pPr>
            <w:r w:rsidRPr="004E2C40">
              <w:rPr>
                <w:b/>
                <w:bCs/>
                <w:sz w:val="20"/>
                <w:szCs w:val="20"/>
              </w:rPr>
              <w:lastRenderedPageBreak/>
              <w:t>11</w:t>
            </w:r>
          </w:p>
        </w:tc>
        <w:tc>
          <w:tcPr>
            <w:tcW w:w="2272" w:type="dxa"/>
            <w:gridSpan w:val="2"/>
            <w:tcBorders>
              <w:top w:val="single" w:sz="6" w:space="0" w:color="auto"/>
              <w:left w:val="single" w:sz="6" w:space="0" w:color="auto"/>
              <w:bottom w:val="single" w:sz="6" w:space="0" w:color="auto"/>
              <w:right w:val="single" w:sz="6" w:space="0" w:color="auto"/>
            </w:tcBorders>
          </w:tcPr>
          <w:p w14:paraId="2CCD7645" w14:textId="47977744" w:rsidR="007D7E0D" w:rsidRPr="004E2C40" w:rsidRDefault="007D7E0D" w:rsidP="007D7E0D">
            <w:pPr>
              <w:keepLines/>
              <w:spacing w:before="40" w:after="40" w:line="190" w:lineRule="exact"/>
              <w:jc w:val="center"/>
              <w:rPr>
                <w:b/>
                <w:bCs/>
                <w:sz w:val="20"/>
                <w:szCs w:val="20"/>
              </w:rPr>
            </w:pPr>
            <w:r w:rsidRPr="004E2C40">
              <w:rPr>
                <w:b/>
                <w:bCs/>
                <w:sz w:val="20"/>
                <w:szCs w:val="20"/>
              </w:rPr>
              <w:t>Para 17 – Page 6</w:t>
            </w:r>
          </w:p>
        </w:tc>
        <w:tc>
          <w:tcPr>
            <w:tcW w:w="966" w:type="dxa"/>
            <w:tcBorders>
              <w:top w:val="single" w:sz="6" w:space="0" w:color="auto"/>
              <w:left w:val="single" w:sz="6" w:space="0" w:color="auto"/>
              <w:bottom w:val="single" w:sz="6" w:space="0" w:color="auto"/>
              <w:right w:val="single" w:sz="6" w:space="0" w:color="auto"/>
            </w:tcBorders>
          </w:tcPr>
          <w:p w14:paraId="613F0BC2" w14:textId="01D1A7D3" w:rsidR="007D7E0D" w:rsidRPr="004E2C40" w:rsidRDefault="005B1C9E" w:rsidP="007D7E0D">
            <w:pPr>
              <w:keepLines/>
              <w:spacing w:before="40" w:after="40" w:line="190" w:lineRule="exact"/>
              <w:jc w:val="center"/>
              <w:rPr>
                <w:b/>
                <w:bCs/>
                <w:sz w:val="20"/>
                <w:szCs w:val="20"/>
              </w:rPr>
            </w:pPr>
            <w:r w:rsidRPr="004E2C40">
              <w:rPr>
                <w:b/>
                <w:bCs/>
                <w:sz w:val="20"/>
                <w:szCs w:val="20"/>
              </w:rPr>
              <w:t xml:space="preserve">Entire </w:t>
            </w:r>
            <w:r w:rsidR="007D7E0D" w:rsidRPr="004E2C40">
              <w:rPr>
                <w:b/>
                <w:bCs/>
                <w:sz w:val="20"/>
                <w:szCs w:val="20"/>
              </w:rPr>
              <w:t>para</w:t>
            </w:r>
            <w:r w:rsidRPr="004E2C40">
              <w:rPr>
                <w:b/>
                <w:bCs/>
                <w:sz w:val="20"/>
                <w:szCs w:val="20"/>
              </w:rPr>
              <w:t>graph</w:t>
            </w:r>
          </w:p>
        </w:tc>
        <w:tc>
          <w:tcPr>
            <w:tcW w:w="938" w:type="dxa"/>
            <w:tcBorders>
              <w:top w:val="single" w:sz="6" w:space="0" w:color="auto"/>
              <w:left w:val="single" w:sz="6" w:space="0" w:color="auto"/>
              <w:bottom w:val="single" w:sz="6" w:space="0" w:color="auto"/>
              <w:right w:val="single" w:sz="6" w:space="0" w:color="auto"/>
            </w:tcBorders>
          </w:tcPr>
          <w:p w14:paraId="4AB2F162" w14:textId="2EBE957B" w:rsidR="007D7E0D" w:rsidRPr="004E2C40" w:rsidRDefault="005B1C9E" w:rsidP="007D7E0D">
            <w:pPr>
              <w:keepLines/>
              <w:spacing w:before="40" w:after="40" w:line="190" w:lineRule="exact"/>
              <w:jc w:val="center"/>
              <w:rPr>
                <w:b/>
                <w:bCs/>
                <w:sz w:val="20"/>
                <w:szCs w:val="20"/>
              </w:rPr>
            </w:pPr>
            <w:proofErr w:type="spellStart"/>
            <w:r w:rsidRPr="004E2C40">
              <w:rPr>
                <w:b/>
                <w:bCs/>
                <w:sz w:val="20"/>
                <w:szCs w:val="20"/>
              </w:rPr>
              <w:t>t</w:t>
            </w:r>
            <w:r w:rsidR="007D7E0D" w:rsidRPr="004E2C40">
              <w:rPr>
                <w:b/>
                <w:bCs/>
                <w:sz w:val="20"/>
                <w:szCs w:val="20"/>
              </w:rPr>
              <w:t>e</w:t>
            </w:r>
            <w:proofErr w:type="spellEnd"/>
          </w:p>
        </w:tc>
        <w:tc>
          <w:tcPr>
            <w:tcW w:w="4444" w:type="dxa"/>
            <w:tcBorders>
              <w:top w:val="single" w:sz="6" w:space="0" w:color="auto"/>
              <w:left w:val="single" w:sz="6" w:space="0" w:color="auto"/>
              <w:bottom w:val="single" w:sz="6" w:space="0" w:color="auto"/>
              <w:right w:val="single" w:sz="6" w:space="0" w:color="auto"/>
            </w:tcBorders>
          </w:tcPr>
          <w:p w14:paraId="7FDAC60C" w14:textId="73B0BCBC" w:rsidR="0099084D" w:rsidRPr="004E2C40" w:rsidRDefault="000E6F65" w:rsidP="007D7E0D">
            <w:pPr>
              <w:keepLines/>
              <w:spacing w:before="40" w:after="40" w:line="190" w:lineRule="exact"/>
              <w:rPr>
                <w:b/>
                <w:bCs/>
                <w:sz w:val="20"/>
                <w:szCs w:val="20"/>
              </w:rPr>
            </w:pPr>
            <w:r w:rsidRPr="004E2C40">
              <w:rPr>
                <w:b/>
                <w:bCs/>
                <w:sz w:val="20"/>
                <w:szCs w:val="20"/>
              </w:rPr>
              <w:t>Regarding</w:t>
            </w:r>
            <w:r w:rsidR="007D7E0D" w:rsidRPr="004E2C40">
              <w:rPr>
                <w:b/>
                <w:bCs/>
                <w:sz w:val="20"/>
                <w:szCs w:val="20"/>
              </w:rPr>
              <w:t xml:space="preserve"> the </w:t>
            </w:r>
            <w:r w:rsidR="002F7C18" w:rsidRPr="004E2C40">
              <w:rPr>
                <w:b/>
                <w:bCs/>
                <w:sz w:val="20"/>
                <w:szCs w:val="20"/>
              </w:rPr>
              <w:t>estimated current</w:t>
            </w:r>
            <w:r w:rsidR="007D7E0D" w:rsidRPr="004E2C40">
              <w:rPr>
                <w:b/>
                <w:bCs/>
                <w:sz w:val="20"/>
                <w:szCs w:val="20"/>
              </w:rPr>
              <w:t xml:space="preserve"> and projected demand for fuelwood, the model has basically focused only on residential </w:t>
            </w:r>
            <w:proofErr w:type="spellStart"/>
            <w:r w:rsidR="007D7E0D" w:rsidRPr="004E2C40">
              <w:rPr>
                <w:b/>
                <w:bCs/>
                <w:sz w:val="20"/>
                <w:szCs w:val="20"/>
              </w:rPr>
              <w:t>woodfuel</w:t>
            </w:r>
            <w:proofErr w:type="spellEnd"/>
            <w:r w:rsidR="007D7E0D" w:rsidRPr="004E2C40">
              <w:rPr>
                <w:b/>
                <w:bCs/>
                <w:sz w:val="20"/>
                <w:szCs w:val="20"/>
              </w:rPr>
              <w:t xml:space="preserve"> demand. It is stated that other sources of demand have not been included for several reasons, including (</w:t>
            </w:r>
            <w:proofErr w:type="spellStart"/>
            <w:r w:rsidR="007D7E0D" w:rsidRPr="004E2C40">
              <w:rPr>
                <w:b/>
                <w:bCs/>
                <w:sz w:val="20"/>
                <w:szCs w:val="20"/>
              </w:rPr>
              <w:t>i</w:t>
            </w:r>
            <w:proofErr w:type="spellEnd"/>
            <w:r w:rsidR="007D7E0D" w:rsidRPr="004E2C40">
              <w:rPr>
                <w:b/>
                <w:bCs/>
                <w:sz w:val="20"/>
                <w:szCs w:val="20"/>
              </w:rPr>
              <w:t>) no reliable data on other activities, such as brickmaking, fish smoking and beer brewing and (ii) industrial roundwood (“renewable”) accounts for less than 10% of the overall wood harvest.</w:t>
            </w:r>
          </w:p>
          <w:p w14:paraId="4EBC0626" w14:textId="77777777" w:rsidR="00E268F7" w:rsidRDefault="00E268F7" w:rsidP="007D7E0D">
            <w:pPr>
              <w:keepLines/>
              <w:spacing w:before="40" w:after="40" w:line="190" w:lineRule="exact"/>
              <w:rPr>
                <w:b/>
                <w:bCs/>
                <w:sz w:val="20"/>
                <w:szCs w:val="20"/>
              </w:rPr>
            </w:pPr>
          </w:p>
          <w:p w14:paraId="69DAD562" w14:textId="6B24B991" w:rsidR="007D7E0D" w:rsidRPr="004E2C40" w:rsidRDefault="009D34BE" w:rsidP="007D7E0D">
            <w:pPr>
              <w:keepLines/>
              <w:spacing w:before="40" w:after="40" w:line="190" w:lineRule="exact"/>
              <w:rPr>
                <w:b/>
                <w:bCs/>
                <w:sz w:val="20"/>
                <w:szCs w:val="20"/>
              </w:rPr>
            </w:pPr>
            <w:r>
              <w:rPr>
                <w:b/>
                <w:bCs/>
                <w:sz w:val="20"/>
                <w:szCs w:val="20"/>
              </w:rPr>
              <w:t>However,</w:t>
            </w:r>
            <w:r w:rsidR="007D7E0D" w:rsidRPr="004E2C40">
              <w:rPr>
                <w:b/>
                <w:bCs/>
                <w:sz w:val="20"/>
                <w:szCs w:val="20"/>
              </w:rPr>
              <w:t xml:space="preserve"> activities, </w:t>
            </w:r>
            <w:r w:rsidR="00C12E1E" w:rsidRPr="004E2C40">
              <w:rPr>
                <w:b/>
                <w:bCs/>
                <w:sz w:val="20"/>
                <w:szCs w:val="20"/>
              </w:rPr>
              <w:t>such as</w:t>
            </w:r>
            <w:r w:rsidR="007D7E0D" w:rsidRPr="004E2C40">
              <w:rPr>
                <w:b/>
                <w:bCs/>
                <w:sz w:val="20"/>
                <w:szCs w:val="20"/>
              </w:rPr>
              <w:t xml:space="preserve"> brickmaking and tobacco</w:t>
            </w:r>
            <w:r w:rsidR="00C12E1E" w:rsidRPr="004E2C40">
              <w:rPr>
                <w:b/>
                <w:bCs/>
                <w:sz w:val="20"/>
                <w:szCs w:val="20"/>
              </w:rPr>
              <w:t xml:space="preserve"> curing</w:t>
            </w:r>
            <w:r w:rsidR="007D7E0D" w:rsidRPr="004E2C40">
              <w:rPr>
                <w:b/>
                <w:bCs/>
                <w:sz w:val="20"/>
                <w:szCs w:val="20"/>
              </w:rPr>
              <w:t xml:space="preserve">, but also fish smoking and beer brewing </w:t>
            </w:r>
            <w:r w:rsidR="00C12E1E" w:rsidRPr="004E2C40">
              <w:rPr>
                <w:b/>
                <w:bCs/>
                <w:sz w:val="20"/>
                <w:szCs w:val="20"/>
              </w:rPr>
              <w:t xml:space="preserve">represent </w:t>
            </w:r>
            <w:r w:rsidR="007D7E0D" w:rsidRPr="004E2C40">
              <w:rPr>
                <w:b/>
                <w:bCs/>
                <w:sz w:val="20"/>
                <w:szCs w:val="20"/>
              </w:rPr>
              <w:t>substantial deforestation and degradation drivers in SSA and there is reliable data to estimate the deforestation impacts of several of these sources, as illustrated below (either direct data or in combination with other trends such as consumption of products per capita and populational growth):</w:t>
            </w:r>
          </w:p>
          <w:p w14:paraId="0B390D96" w14:textId="77777777" w:rsidR="007D7E0D" w:rsidRPr="004E2C40" w:rsidRDefault="007D7E0D" w:rsidP="007D7E0D">
            <w:pPr>
              <w:keepLines/>
              <w:spacing w:before="40" w:after="40" w:line="190" w:lineRule="exact"/>
              <w:rPr>
                <w:b/>
                <w:bCs/>
                <w:sz w:val="20"/>
                <w:szCs w:val="20"/>
              </w:rPr>
            </w:pPr>
          </w:p>
          <w:p w14:paraId="26CAE612" w14:textId="77777777" w:rsidR="007D7E0D" w:rsidRPr="004E2C40" w:rsidRDefault="007D7E0D" w:rsidP="007D7E0D">
            <w:pPr>
              <w:spacing w:line="256" w:lineRule="auto"/>
              <w:rPr>
                <w:sz w:val="20"/>
                <w:szCs w:val="20"/>
              </w:rPr>
            </w:pPr>
            <w:r w:rsidRPr="004E2C40">
              <w:rPr>
                <w:sz w:val="20"/>
                <w:szCs w:val="20"/>
              </w:rPr>
              <w:t>- Geist, HJ (1999). Global assessment of deforestation related to tobacco farming. Tobacco Control: 8:18–28.</w:t>
            </w:r>
          </w:p>
          <w:p w14:paraId="50E90B51" w14:textId="77777777" w:rsidR="007D7E0D" w:rsidRPr="004E2C40" w:rsidRDefault="007D7E0D" w:rsidP="007D7E0D">
            <w:pPr>
              <w:rPr>
                <w:sz w:val="20"/>
                <w:szCs w:val="20"/>
              </w:rPr>
            </w:pPr>
            <w:r w:rsidRPr="004E2C40">
              <w:rPr>
                <w:sz w:val="20"/>
                <w:szCs w:val="20"/>
              </w:rPr>
              <w:t xml:space="preserve">- Ministry of Forestry and Natural Resources. (1993). Forest resources mapping and biomass assessment for Malawi. </w:t>
            </w:r>
            <w:proofErr w:type="spellStart"/>
            <w:r w:rsidRPr="004E2C40">
              <w:rPr>
                <w:sz w:val="20"/>
                <w:szCs w:val="20"/>
              </w:rPr>
              <w:t>Satellitbild</w:t>
            </w:r>
            <w:proofErr w:type="spellEnd"/>
            <w:r w:rsidRPr="004E2C40">
              <w:rPr>
                <w:sz w:val="20"/>
                <w:szCs w:val="20"/>
              </w:rPr>
              <w:t>, Kiruna Sweden in cooperation with the Department of Forestry, Lilongwe.</w:t>
            </w:r>
          </w:p>
          <w:p w14:paraId="176406E8" w14:textId="77777777" w:rsidR="007D7E0D" w:rsidRPr="004E2C40" w:rsidRDefault="007D7E0D" w:rsidP="007D7E0D">
            <w:pPr>
              <w:pStyle w:val="EndnoteText"/>
              <w:rPr>
                <w:rFonts w:ascii="Arial" w:hAnsi="Arial" w:cs="Arial"/>
              </w:rPr>
            </w:pPr>
            <w:r w:rsidRPr="004E2C40">
              <w:rPr>
                <w:rFonts w:ascii="Arial" w:hAnsi="Arial" w:cs="Arial"/>
              </w:rPr>
              <w:t xml:space="preserve">- Drigo, R. (2019). </w:t>
            </w:r>
            <w:proofErr w:type="spellStart"/>
            <w:r w:rsidRPr="004E2C40">
              <w:rPr>
                <w:rFonts w:ascii="Arial" w:hAnsi="Arial" w:cs="Arial"/>
              </w:rPr>
              <w:t>Woodfuel</w:t>
            </w:r>
            <w:proofErr w:type="spellEnd"/>
            <w:r w:rsidRPr="004E2C40">
              <w:rPr>
                <w:rFonts w:ascii="Arial" w:hAnsi="Arial" w:cs="Arial"/>
              </w:rPr>
              <w:t xml:space="preserve"> integrated supply/demand overview mapping (WISDOM) Malawi: Analysis of </w:t>
            </w:r>
            <w:proofErr w:type="spellStart"/>
            <w:r w:rsidRPr="004E2C40">
              <w:rPr>
                <w:rFonts w:ascii="Arial" w:hAnsi="Arial" w:cs="Arial"/>
              </w:rPr>
              <w:t>Woodfuel</w:t>
            </w:r>
            <w:proofErr w:type="spellEnd"/>
            <w:r w:rsidRPr="004E2C40">
              <w:rPr>
                <w:rFonts w:ascii="Arial" w:hAnsi="Arial" w:cs="Arial"/>
              </w:rPr>
              <w:t xml:space="preserve"> Demand, Supply, and Harvesting Sustainability. Report to the USAID Mission in Malawi.</w:t>
            </w:r>
          </w:p>
          <w:p w14:paraId="7369BC02" w14:textId="77777777" w:rsidR="007D7E0D" w:rsidRPr="004E2C40" w:rsidRDefault="007D7E0D" w:rsidP="007D7E0D">
            <w:pPr>
              <w:rPr>
                <w:sz w:val="20"/>
                <w:szCs w:val="20"/>
              </w:rPr>
            </w:pPr>
            <w:r w:rsidRPr="004E2C40">
              <w:rPr>
                <w:sz w:val="20"/>
                <w:szCs w:val="20"/>
                <w:lang w:val="pt-BR"/>
              </w:rPr>
              <w:t xml:space="preserve">- Alam, S. A., &amp; Starr, M. (2009). </w:t>
            </w:r>
            <w:r w:rsidRPr="004E2C40">
              <w:rPr>
                <w:sz w:val="20"/>
                <w:szCs w:val="20"/>
              </w:rPr>
              <w:t xml:space="preserve">Deforestation and greenhouse gas emissions associated with fuelwood consumption of the brick making industry in Sudan. Science of The Total Environment, 407(2), 847–852. </w:t>
            </w:r>
            <w:hyperlink r:id="rId10" w:history="1">
              <w:r w:rsidRPr="004E2C40">
                <w:rPr>
                  <w:sz w:val="20"/>
                  <w:szCs w:val="20"/>
                </w:rPr>
                <w:t>https://doi.org/10.1016/j.scitotenv.2008.09.040</w:t>
              </w:r>
            </w:hyperlink>
          </w:p>
          <w:p w14:paraId="3A5E8EBD" w14:textId="77777777" w:rsidR="007D7E0D" w:rsidRPr="004E2C40" w:rsidRDefault="007D7E0D" w:rsidP="007D7E0D">
            <w:pPr>
              <w:rPr>
                <w:sz w:val="20"/>
                <w:szCs w:val="20"/>
              </w:rPr>
            </w:pPr>
            <w:r w:rsidRPr="004E2C40">
              <w:rPr>
                <w:sz w:val="20"/>
                <w:szCs w:val="20"/>
              </w:rPr>
              <w:t xml:space="preserve">- Beamish, A., &amp; Donovan, W. (1989). Village-level brickmaking. </w:t>
            </w:r>
            <w:r w:rsidRPr="004E2C40">
              <w:rPr>
                <w:i/>
                <w:iCs/>
                <w:sz w:val="20"/>
                <w:szCs w:val="20"/>
              </w:rPr>
              <w:t>Village-Level Brickmaking.</w:t>
            </w:r>
            <w:r w:rsidRPr="004E2C40">
              <w:rPr>
                <w:sz w:val="20"/>
                <w:szCs w:val="20"/>
              </w:rPr>
              <w:t xml:space="preserve"> </w:t>
            </w:r>
            <w:hyperlink r:id="rId11" w:history="1">
              <w:r w:rsidRPr="004E2C40">
                <w:rPr>
                  <w:color w:val="0000FF"/>
                  <w:sz w:val="20"/>
                  <w:szCs w:val="20"/>
                  <w:u w:val="single"/>
                </w:rPr>
                <w:t>https://www.cabdirect.org/cabdirect/abstract/19896708359</w:t>
              </w:r>
            </w:hyperlink>
          </w:p>
          <w:p w14:paraId="5896C5CB" w14:textId="77777777" w:rsidR="007D7E0D" w:rsidRPr="004E2C40" w:rsidRDefault="007D7E0D" w:rsidP="007D7E0D">
            <w:pPr>
              <w:rPr>
                <w:sz w:val="20"/>
                <w:szCs w:val="20"/>
              </w:rPr>
            </w:pPr>
            <w:r w:rsidRPr="004E2C40">
              <w:rPr>
                <w:sz w:val="20"/>
                <w:szCs w:val="20"/>
              </w:rPr>
              <w:t xml:space="preserve">- Bossard, A. L. (2022). </w:t>
            </w:r>
            <w:r w:rsidRPr="004E2C40">
              <w:rPr>
                <w:i/>
                <w:iCs/>
                <w:sz w:val="20"/>
                <w:szCs w:val="20"/>
              </w:rPr>
              <w:t>Investigating the Optimization Potential of Brick Clamps in Malawi: Thermal efficiency analysis and perspectives of brickmakers</w:t>
            </w:r>
            <w:r w:rsidRPr="004E2C40">
              <w:rPr>
                <w:sz w:val="20"/>
                <w:szCs w:val="20"/>
              </w:rPr>
              <w:t xml:space="preserve">. </w:t>
            </w:r>
            <w:hyperlink r:id="rId12" w:history="1">
              <w:r w:rsidRPr="004E2C40">
                <w:rPr>
                  <w:color w:val="0000FF"/>
                  <w:sz w:val="20"/>
                  <w:szCs w:val="20"/>
                  <w:u w:val="single"/>
                </w:rPr>
                <w:t>https://doi.org/10.3929/ethz-b-000580955</w:t>
              </w:r>
            </w:hyperlink>
          </w:p>
          <w:p w14:paraId="2B2EF47C" w14:textId="77777777" w:rsidR="007D7E0D" w:rsidRPr="004E2C40" w:rsidRDefault="007D7E0D" w:rsidP="007D7E0D">
            <w:pPr>
              <w:rPr>
                <w:sz w:val="20"/>
                <w:szCs w:val="20"/>
                <w:lang w:val="pt-BR"/>
              </w:rPr>
            </w:pPr>
            <w:r w:rsidRPr="004E2C40">
              <w:rPr>
                <w:sz w:val="20"/>
                <w:szCs w:val="20"/>
              </w:rPr>
              <w:t xml:space="preserve">- CLAY BRICK ASSOCIATION OF SOUTHERN AFRICA. (2017, February). </w:t>
            </w:r>
            <w:r w:rsidRPr="004E2C40">
              <w:rPr>
                <w:i/>
                <w:iCs/>
                <w:sz w:val="20"/>
                <w:szCs w:val="20"/>
              </w:rPr>
              <w:t>Clay Brick Production in Southern Africa | Clay Brick Association of Southern Africa</w:t>
            </w:r>
            <w:r w:rsidRPr="004E2C40">
              <w:rPr>
                <w:sz w:val="20"/>
                <w:szCs w:val="20"/>
              </w:rPr>
              <w:t xml:space="preserve">. </w:t>
            </w:r>
            <w:hyperlink r:id="rId13" w:history="1">
              <w:r w:rsidRPr="004E2C40">
                <w:rPr>
                  <w:rStyle w:val="Hyperlink"/>
                  <w:sz w:val="20"/>
                  <w:szCs w:val="20"/>
                  <w:lang w:val="pt-BR"/>
                </w:rPr>
                <w:t>https://claybrick.org/clay-brick-production-southern-africa</w:t>
              </w:r>
            </w:hyperlink>
          </w:p>
          <w:p w14:paraId="4365F690" w14:textId="77777777" w:rsidR="007D7E0D" w:rsidRPr="004E2C40" w:rsidRDefault="007D7E0D" w:rsidP="007D7E0D">
            <w:pPr>
              <w:rPr>
                <w:sz w:val="20"/>
                <w:szCs w:val="20"/>
              </w:rPr>
            </w:pPr>
            <w:r w:rsidRPr="004E2C40">
              <w:rPr>
                <w:sz w:val="20"/>
                <w:szCs w:val="20"/>
                <w:lang w:val="en-US"/>
              </w:rPr>
              <w:t xml:space="preserve">- Ngwira, S., &amp; Watanabe, T. (2019). </w:t>
            </w:r>
            <w:r w:rsidRPr="004E2C40">
              <w:rPr>
                <w:sz w:val="20"/>
                <w:szCs w:val="20"/>
              </w:rPr>
              <w:t xml:space="preserve">An Analysis of the Causes of Deforestation in Malawi: A Case of </w:t>
            </w:r>
            <w:proofErr w:type="spellStart"/>
            <w:r w:rsidRPr="004E2C40">
              <w:rPr>
                <w:sz w:val="20"/>
                <w:szCs w:val="20"/>
              </w:rPr>
              <w:t>Mwazisi</w:t>
            </w:r>
            <w:proofErr w:type="spellEnd"/>
            <w:r w:rsidRPr="004E2C40">
              <w:rPr>
                <w:sz w:val="20"/>
                <w:szCs w:val="20"/>
              </w:rPr>
              <w:t xml:space="preserve">. </w:t>
            </w:r>
            <w:r w:rsidRPr="004E2C40">
              <w:rPr>
                <w:i/>
                <w:iCs/>
                <w:sz w:val="20"/>
                <w:szCs w:val="20"/>
              </w:rPr>
              <w:t>Land</w:t>
            </w:r>
            <w:r w:rsidRPr="004E2C40">
              <w:rPr>
                <w:sz w:val="20"/>
                <w:szCs w:val="20"/>
              </w:rPr>
              <w:t xml:space="preserve">, </w:t>
            </w:r>
            <w:r w:rsidRPr="004E2C40">
              <w:rPr>
                <w:i/>
                <w:iCs/>
                <w:sz w:val="20"/>
                <w:szCs w:val="20"/>
              </w:rPr>
              <w:t>8</w:t>
            </w:r>
            <w:r w:rsidRPr="004E2C40">
              <w:rPr>
                <w:sz w:val="20"/>
                <w:szCs w:val="20"/>
              </w:rPr>
              <w:t xml:space="preserve">(3), Article 3. </w:t>
            </w:r>
            <w:hyperlink r:id="rId14" w:history="1">
              <w:r w:rsidRPr="004E2C40">
                <w:rPr>
                  <w:color w:val="0000FF"/>
                  <w:sz w:val="20"/>
                  <w:szCs w:val="20"/>
                  <w:u w:val="single"/>
                </w:rPr>
                <w:t>https://doi.org/10.3390/land8030048</w:t>
              </w:r>
            </w:hyperlink>
          </w:p>
          <w:p w14:paraId="39B0D106" w14:textId="77777777" w:rsidR="007D7E0D" w:rsidRPr="004E2C40" w:rsidRDefault="007D7E0D" w:rsidP="007D7E0D">
            <w:pPr>
              <w:rPr>
                <w:sz w:val="20"/>
                <w:szCs w:val="20"/>
              </w:rPr>
            </w:pPr>
            <w:r w:rsidRPr="004E2C40">
              <w:rPr>
                <w:sz w:val="20"/>
                <w:szCs w:val="20"/>
              </w:rPr>
              <w:t xml:space="preserve">- Sampe, F., &amp; </w:t>
            </w:r>
            <w:proofErr w:type="spellStart"/>
            <w:r w:rsidRPr="004E2C40">
              <w:rPr>
                <w:sz w:val="20"/>
                <w:szCs w:val="20"/>
              </w:rPr>
              <w:t>Pakiding</w:t>
            </w:r>
            <w:proofErr w:type="spellEnd"/>
            <w:r w:rsidRPr="004E2C40">
              <w:rPr>
                <w:sz w:val="20"/>
                <w:szCs w:val="20"/>
              </w:rPr>
              <w:t xml:space="preserve">, D. L. (2015). Perception of Traditional </w:t>
            </w:r>
            <w:proofErr w:type="gramStart"/>
            <w:r w:rsidRPr="004E2C40">
              <w:rPr>
                <w:sz w:val="20"/>
                <w:szCs w:val="20"/>
              </w:rPr>
              <w:t>Small Scale</w:t>
            </w:r>
            <w:proofErr w:type="gramEnd"/>
            <w:r w:rsidRPr="004E2C40">
              <w:rPr>
                <w:sz w:val="20"/>
                <w:szCs w:val="20"/>
              </w:rPr>
              <w:t xml:space="preserve"> Brick-making owner on firewood usage for Brick-making process. </w:t>
            </w:r>
            <w:r w:rsidRPr="004E2C40">
              <w:rPr>
                <w:i/>
                <w:iCs/>
                <w:sz w:val="20"/>
                <w:szCs w:val="20"/>
              </w:rPr>
              <w:t xml:space="preserve">Procedia - Social and </w:t>
            </w:r>
            <w:proofErr w:type="spellStart"/>
            <w:r w:rsidRPr="004E2C40">
              <w:rPr>
                <w:i/>
                <w:iCs/>
                <w:sz w:val="20"/>
                <w:szCs w:val="20"/>
              </w:rPr>
              <w:t>Behavioral</w:t>
            </w:r>
            <w:proofErr w:type="spellEnd"/>
            <w:r w:rsidRPr="004E2C40">
              <w:rPr>
                <w:i/>
                <w:iCs/>
                <w:sz w:val="20"/>
                <w:szCs w:val="20"/>
              </w:rPr>
              <w:t xml:space="preserve"> Sciences</w:t>
            </w:r>
            <w:r w:rsidRPr="004E2C40">
              <w:rPr>
                <w:sz w:val="20"/>
                <w:szCs w:val="20"/>
              </w:rPr>
              <w:t xml:space="preserve">, </w:t>
            </w:r>
            <w:r w:rsidRPr="004E2C40">
              <w:rPr>
                <w:i/>
                <w:iCs/>
                <w:sz w:val="20"/>
                <w:szCs w:val="20"/>
              </w:rPr>
              <w:t>211</w:t>
            </w:r>
            <w:r w:rsidRPr="004E2C40">
              <w:rPr>
                <w:sz w:val="20"/>
                <w:szCs w:val="20"/>
              </w:rPr>
              <w:t xml:space="preserve">, 653–659. </w:t>
            </w:r>
            <w:hyperlink r:id="rId15" w:history="1">
              <w:r w:rsidRPr="004E2C40">
                <w:rPr>
                  <w:color w:val="0000FF"/>
                  <w:sz w:val="20"/>
                  <w:szCs w:val="20"/>
                  <w:u w:val="single"/>
                </w:rPr>
                <w:t>https://doi.org/10.1016/j.sbspro.2015.11.095</w:t>
              </w:r>
            </w:hyperlink>
          </w:p>
          <w:p w14:paraId="4F4F9D6F" w14:textId="77777777" w:rsidR="007D7E0D" w:rsidRPr="004E2C40" w:rsidRDefault="007D7E0D" w:rsidP="007D7E0D">
            <w:pPr>
              <w:rPr>
                <w:sz w:val="20"/>
                <w:szCs w:val="20"/>
              </w:rPr>
            </w:pPr>
            <w:r w:rsidRPr="004E2C40">
              <w:rPr>
                <w:sz w:val="20"/>
                <w:szCs w:val="20"/>
              </w:rPr>
              <w:t xml:space="preserve">- </w:t>
            </w:r>
            <w:proofErr w:type="spellStart"/>
            <w:r w:rsidRPr="004E2C40">
              <w:rPr>
                <w:sz w:val="20"/>
                <w:szCs w:val="20"/>
              </w:rPr>
              <w:t>Wiyo</w:t>
            </w:r>
            <w:proofErr w:type="spellEnd"/>
            <w:r w:rsidRPr="004E2C40">
              <w:rPr>
                <w:sz w:val="20"/>
                <w:szCs w:val="20"/>
              </w:rPr>
              <w:t xml:space="preserve">, K. A., </w:t>
            </w:r>
            <w:proofErr w:type="spellStart"/>
            <w:r w:rsidRPr="004E2C40">
              <w:rPr>
                <w:sz w:val="20"/>
                <w:szCs w:val="20"/>
              </w:rPr>
              <w:t>Fiwa</w:t>
            </w:r>
            <w:proofErr w:type="spellEnd"/>
            <w:r w:rsidRPr="004E2C40">
              <w:rPr>
                <w:sz w:val="20"/>
                <w:szCs w:val="20"/>
              </w:rPr>
              <w:t xml:space="preserve">, L., &amp; Mwase, W. (2015). Solving deforestation, </w:t>
            </w:r>
            <w:proofErr w:type="gramStart"/>
            <w:r w:rsidRPr="004E2C40">
              <w:rPr>
                <w:sz w:val="20"/>
                <w:szCs w:val="20"/>
              </w:rPr>
              <w:t>protecting</w:t>
            </w:r>
            <w:proofErr w:type="gramEnd"/>
            <w:r w:rsidRPr="004E2C40">
              <w:rPr>
                <w:sz w:val="20"/>
                <w:szCs w:val="20"/>
              </w:rPr>
              <w:t xml:space="preserve"> and managing key water catchments in Malawi using smart public and private partnerships. </w:t>
            </w:r>
            <w:r w:rsidRPr="004E2C40">
              <w:rPr>
                <w:i/>
                <w:iCs/>
                <w:sz w:val="20"/>
                <w:szCs w:val="20"/>
              </w:rPr>
              <w:t>Journal of Sustainable Development</w:t>
            </w:r>
            <w:r w:rsidRPr="004E2C40">
              <w:rPr>
                <w:sz w:val="20"/>
                <w:szCs w:val="20"/>
              </w:rPr>
              <w:t xml:space="preserve">, </w:t>
            </w:r>
            <w:r w:rsidRPr="004E2C40">
              <w:rPr>
                <w:i/>
                <w:iCs/>
                <w:sz w:val="20"/>
                <w:szCs w:val="20"/>
              </w:rPr>
              <w:t>8</w:t>
            </w:r>
            <w:r w:rsidRPr="004E2C40">
              <w:rPr>
                <w:sz w:val="20"/>
                <w:szCs w:val="20"/>
              </w:rPr>
              <w:t>(8), 251–261.</w:t>
            </w:r>
          </w:p>
          <w:p w14:paraId="4DE3299F" w14:textId="7F60FCBD" w:rsidR="007D7E0D" w:rsidRPr="004E2C40" w:rsidRDefault="007D7E0D" w:rsidP="007D7E0D">
            <w:pPr>
              <w:rPr>
                <w:b/>
                <w:bCs/>
                <w:sz w:val="20"/>
                <w:szCs w:val="20"/>
              </w:rPr>
            </w:pPr>
            <w:r w:rsidRPr="004E2C40">
              <w:rPr>
                <w:sz w:val="20"/>
                <w:szCs w:val="20"/>
              </w:rPr>
              <w:t xml:space="preserve">- </w:t>
            </w:r>
            <w:proofErr w:type="spellStart"/>
            <w:r w:rsidRPr="004E2C40">
              <w:rPr>
                <w:sz w:val="20"/>
                <w:szCs w:val="20"/>
              </w:rPr>
              <w:t>Bockaire</w:t>
            </w:r>
            <w:proofErr w:type="spellEnd"/>
            <w:r w:rsidRPr="004E2C40">
              <w:rPr>
                <w:sz w:val="20"/>
                <w:szCs w:val="20"/>
              </w:rPr>
              <w:t xml:space="preserve"> et al. 2020 - Air Pollution and Climate Forcing of the Charcoal Industry in Africa. Alfred S. Bockarie, </w:t>
            </w:r>
            <w:proofErr w:type="spellStart"/>
            <w:r w:rsidRPr="004E2C40">
              <w:rPr>
                <w:sz w:val="20"/>
                <w:szCs w:val="20"/>
              </w:rPr>
              <w:t>loise</w:t>
            </w:r>
            <w:proofErr w:type="spellEnd"/>
            <w:r w:rsidRPr="004E2C40">
              <w:rPr>
                <w:sz w:val="20"/>
                <w:szCs w:val="20"/>
              </w:rPr>
              <w:t xml:space="preserve"> A. </w:t>
            </w:r>
            <w:proofErr w:type="gramStart"/>
            <w:r w:rsidRPr="004E2C40">
              <w:rPr>
                <w:sz w:val="20"/>
                <w:szCs w:val="20"/>
              </w:rPr>
              <w:t>Marais,*</w:t>
            </w:r>
            <w:proofErr w:type="gramEnd"/>
            <w:r w:rsidRPr="004E2C40">
              <w:rPr>
                <w:sz w:val="20"/>
                <w:szCs w:val="20"/>
              </w:rPr>
              <w:t xml:space="preserve"> and A. R. </w:t>
            </w:r>
            <w:proofErr w:type="spellStart"/>
            <w:r w:rsidRPr="004E2C40">
              <w:rPr>
                <w:sz w:val="20"/>
                <w:szCs w:val="20"/>
              </w:rPr>
              <w:t>MacKenzie</w:t>
            </w:r>
            <w:proofErr w:type="spellEnd"/>
            <w:r w:rsidRPr="004E2C40">
              <w:rPr>
                <w:sz w:val="20"/>
                <w:szCs w:val="20"/>
              </w:rPr>
              <w:t>. In: Environ. Sci. Technol. 2020, 54, 13429−13438</w:t>
            </w:r>
          </w:p>
        </w:tc>
        <w:tc>
          <w:tcPr>
            <w:tcW w:w="3971" w:type="dxa"/>
            <w:tcBorders>
              <w:top w:val="single" w:sz="6" w:space="0" w:color="auto"/>
              <w:left w:val="single" w:sz="6" w:space="0" w:color="auto"/>
              <w:bottom w:val="single" w:sz="6" w:space="0" w:color="auto"/>
              <w:right w:val="single" w:sz="6" w:space="0" w:color="auto"/>
            </w:tcBorders>
          </w:tcPr>
          <w:p w14:paraId="1EC09D9E" w14:textId="7F6F28F0" w:rsidR="007D7E0D" w:rsidRPr="004E2C40" w:rsidRDefault="007D7E0D" w:rsidP="007D7E0D">
            <w:pPr>
              <w:keepLines/>
              <w:spacing w:before="40" w:after="40" w:line="190" w:lineRule="exact"/>
              <w:rPr>
                <w:b/>
                <w:bCs/>
                <w:sz w:val="20"/>
                <w:szCs w:val="20"/>
              </w:rPr>
            </w:pPr>
            <w:r w:rsidRPr="004E2C40">
              <w:rPr>
                <w:b/>
                <w:bCs/>
                <w:sz w:val="20"/>
                <w:szCs w:val="20"/>
              </w:rPr>
              <w:lastRenderedPageBreak/>
              <w:t xml:space="preserve">The report should consider and estimate the impact of other sources of deforestation and degradation, since they are likely to have a </w:t>
            </w:r>
            <w:r w:rsidR="00BB0D79" w:rsidRPr="004E2C40">
              <w:rPr>
                <w:b/>
                <w:bCs/>
                <w:sz w:val="20"/>
                <w:szCs w:val="20"/>
              </w:rPr>
              <w:t xml:space="preserve">substantive impact </w:t>
            </w:r>
            <w:r w:rsidRPr="004E2C40">
              <w:rPr>
                <w:b/>
                <w:bCs/>
                <w:sz w:val="20"/>
                <w:szCs w:val="20"/>
              </w:rPr>
              <w:t xml:space="preserve">on </w:t>
            </w:r>
            <w:r w:rsidR="00BB0D79" w:rsidRPr="004E2C40">
              <w:rPr>
                <w:b/>
                <w:bCs/>
                <w:sz w:val="20"/>
                <w:szCs w:val="20"/>
              </w:rPr>
              <w:t>deforestation</w:t>
            </w:r>
            <w:r w:rsidRPr="004E2C40">
              <w:rPr>
                <w:b/>
                <w:bCs/>
                <w:sz w:val="20"/>
                <w:szCs w:val="20"/>
              </w:rPr>
              <w:t xml:space="preserve">. Estimations may be conservative, but ignoring </w:t>
            </w:r>
            <w:r w:rsidR="0063717C" w:rsidRPr="004E2C40">
              <w:rPr>
                <w:b/>
                <w:bCs/>
                <w:sz w:val="20"/>
                <w:szCs w:val="20"/>
              </w:rPr>
              <w:t>these</w:t>
            </w:r>
            <w:r w:rsidRPr="004E2C40">
              <w:rPr>
                <w:b/>
                <w:bCs/>
                <w:sz w:val="20"/>
                <w:szCs w:val="20"/>
              </w:rPr>
              <w:t xml:space="preserve"> major deforestation and degradation drivers in Africa would bring about major inaccuracies leading to a level of conservatism that would be excessive and far from reality. </w:t>
            </w:r>
          </w:p>
        </w:tc>
        <w:tc>
          <w:tcPr>
            <w:tcW w:w="2389" w:type="dxa"/>
            <w:tcBorders>
              <w:top w:val="single" w:sz="6" w:space="0" w:color="auto"/>
              <w:left w:val="single" w:sz="6" w:space="0" w:color="auto"/>
              <w:bottom w:val="single" w:sz="6" w:space="0" w:color="auto"/>
              <w:right w:val="single" w:sz="6" w:space="0" w:color="auto"/>
            </w:tcBorders>
            <w:shd w:val="clear" w:color="auto" w:fill="E6E6E6"/>
          </w:tcPr>
          <w:p w14:paraId="5E6B7C9B" w14:textId="77777777" w:rsidR="007D7E0D" w:rsidRPr="004E2C40" w:rsidRDefault="007D7E0D" w:rsidP="007D7E0D">
            <w:pPr>
              <w:keepLines/>
              <w:spacing w:before="40" w:after="40" w:line="190" w:lineRule="exact"/>
              <w:jc w:val="center"/>
              <w:rPr>
                <w:b/>
                <w:bCs/>
                <w:sz w:val="20"/>
                <w:szCs w:val="20"/>
              </w:rPr>
            </w:pPr>
          </w:p>
        </w:tc>
      </w:tr>
    </w:tbl>
    <w:p w14:paraId="1BCDB222" w14:textId="77777777" w:rsidR="00DF4F6B" w:rsidRDefault="00DF4F6B">
      <w:pPr>
        <w:spacing w:line="240" w:lineRule="exact"/>
      </w:pPr>
    </w:p>
    <w:sectPr w:rsidR="00DF4F6B">
      <w:headerReference w:type="default" r:id="rId16"/>
      <w:footerReference w:type="even" r:id="rId17"/>
      <w:footerReference w:type="default" r:id="rId18"/>
      <w:type w:val="continuous"/>
      <w:pgSz w:w="16840" w:h="11907" w:orient="landscape" w:code="9"/>
      <w:pgMar w:top="576" w:right="994" w:bottom="850" w:left="850" w:header="562" w:footer="562" w:gutter="0"/>
      <w:pgNumType w:start="1"/>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9421" w14:textId="77777777" w:rsidR="00283C95" w:rsidRDefault="00283C95" w:rsidP="00DF4F6B">
      <w:r>
        <w:separator/>
      </w:r>
    </w:p>
  </w:endnote>
  <w:endnote w:type="continuationSeparator" w:id="0">
    <w:p w14:paraId="4D2B33C7" w14:textId="77777777" w:rsidR="00283C95" w:rsidRDefault="00283C95" w:rsidP="00DF4F6B">
      <w:r>
        <w:continuationSeparator/>
      </w:r>
    </w:p>
  </w:endnote>
  <w:endnote w:type="continuationNotice" w:id="1">
    <w:p w14:paraId="5725571A" w14:textId="77777777" w:rsidR="00283C95" w:rsidRDefault="00283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BD56D" w14:textId="79F7CE40" w:rsidR="00F37030" w:rsidRDefault="00F37030" w:rsidP="009E2F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0890">
      <w:rPr>
        <w:rStyle w:val="PageNumber"/>
        <w:noProof/>
      </w:rPr>
      <w:t>1</w:t>
    </w:r>
    <w:r>
      <w:rPr>
        <w:rStyle w:val="PageNumber"/>
      </w:rPr>
      <w:fldChar w:fldCharType="end"/>
    </w:r>
  </w:p>
  <w:p w14:paraId="4D37A50B" w14:textId="77777777" w:rsidR="00F37030" w:rsidRDefault="00F37030" w:rsidP="00DF4E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1247C" w14:textId="77777777" w:rsidR="00F37030" w:rsidRDefault="00F37030" w:rsidP="009E2F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4F18954" w14:textId="77777777" w:rsidR="00F37030" w:rsidRDefault="00F37030" w:rsidP="00DF4E0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ED32B" w14:textId="77777777" w:rsidR="00283C95" w:rsidRDefault="00283C95" w:rsidP="00DF4F6B">
      <w:r>
        <w:separator/>
      </w:r>
    </w:p>
  </w:footnote>
  <w:footnote w:type="continuationSeparator" w:id="0">
    <w:p w14:paraId="1DFBE4DA" w14:textId="77777777" w:rsidR="00283C95" w:rsidRDefault="00283C95" w:rsidP="00DF4F6B">
      <w:r>
        <w:continuationSeparator/>
      </w:r>
    </w:p>
  </w:footnote>
  <w:footnote w:type="continuationNotice" w:id="1">
    <w:p w14:paraId="5630F0D3" w14:textId="77777777" w:rsidR="00283C95" w:rsidRDefault="00283C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503"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688"/>
      <w:gridCol w:w="2294"/>
      <w:gridCol w:w="4521"/>
    </w:tblGrid>
    <w:tr w:rsidR="00F37030" w14:paraId="0F8ECA1C" w14:textId="77777777">
      <w:trPr>
        <w:cantSplit/>
        <w:jc w:val="center"/>
      </w:trPr>
      <w:tc>
        <w:tcPr>
          <w:tcW w:w="8688" w:type="dxa"/>
          <w:tcBorders>
            <w:top w:val="nil"/>
            <w:left w:val="nil"/>
            <w:bottom w:val="nil"/>
            <w:right w:val="nil"/>
          </w:tcBorders>
        </w:tcPr>
        <w:p w14:paraId="643D2012" w14:textId="77777777" w:rsidR="00F37030" w:rsidRDefault="00F37030">
          <w:pPr>
            <w:pStyle w:val="ISOComments"/>
            <w:spacing w:before="60" w:after="60"/>
            <w:rPr>
              <w:sz w:val="22"/>
            </w:rPr>
          </w:pPr>
          <w:r>
            <w:rPr>
              <w:rStyle w:val="MTEquationSection"/>
              <w:b/>
              <w:bCs/>
              <w:color w:val="auto"/>
              <w:sz w:val="22"/>
              <w:szCs w:val="22"/>
            </w:rPr>
            <w:t>Template for comments</w:t>
          </w:r>
        </w:p>
      </w:tc>
      <w:tc>
        <w:tcPr>
          <w:tcW w:w="2294" w:type="dxa"/>
          <w:tcBorders>
            <w:top w:val="single" w:sz="6" w:space="0" w:color="auto"/>
            <w:left w:val="single" w:sz="6" w:space="0" w:color="auto"/>
            <w:bottom w:val="single" w:sz="6" w:space="0" w:color="auto"/>
            <w:right w:val="single" w:sz="6" w:space="0" w:color="auto"/>
          </w:tcBorders>
        </w:tcPr>
        <w:p w14:paraId="18044243" w14:textId="7D738911" w:rsidR="00F37030" w:rsidRPr="00777AC5" w:rsidRDefault="00F37030">
          <w:pPr>
            <w:pStyle w:val="ISOChange"/>
            <w:spacing w:before="60" w:after="60"/>
            <w:rPr>
              <w:b/>
              <w:sz w:val="22"/>
            </w:rPr>
          </w:pPr>
          <w:r w:rsidRPr="00777AC5">
            <w:rPr>
              <w:b/>
              <w:sz w:val="22"/>
            </w:rPr>
            <w:t xml:space="preserve">Date: </w:t>
          </w:r>
          <w:r w:rsidR="00DE29BB">
            <w:rPr>
              <w:b/>
              <w:sz w:val="22"/>
            </w:rPr>
            <w:t>10 November 2023</w:t>
          </w:r>
        </w:p>
      </w:tc>
      <w:tc>
        <w:tcPr>
          <w:tcW w:w="4521" w:type="dxa"/>
          <w:tcBorders>
            <w:top w:val="single" w:sz="6" w:space="0" w:color="auto"/>
            <w:left w:val="single" w:sz="6" w:space="0" w:color="auto"/>
            <w:bottom w:val="single" w:sz="6" w:space="0" w:color="auto"/>
            <w:right w:val="single" w:sz="6" w:space="0" w:color="auto"/>
          </w:tcBorders>
        </w:tcPr>
        <w:p w14:paraId="766EB125" w14:textId="77777777" w:rsidR="00F37030" w:rsidRDefault="00F37030">
          <w:pPr>
            <w:pStyle w:val="ISOSecretObservations"/>
            <w:spacing w:before="60" w:after="60"/>
            <w:rPr>
              <w:b/>
              <w:bCs/>
              <w:sz w:val="22"/>
              <w:szCs w:val="20"/>
            </w:rPr>
          </w:pPr>
          <w:r>
            <w:rPr>
              <w:b/>
              <w:bCs/>
              <w:sz w:val="22"/>
            </w:rPr>
            <w:t>Document:</w:t>
          </w:r>
          <w:r>
            <w:rPr>
              <w:b/>
              <w:bCs/>
              <w:sz w:val="22"/>
              <w:szCs w:val="20"/>
            </w:rPr>
            <w:t xml:space="preserve">  </w:t>
          </w:r>
        </w:p>
      </w:tc>
    </w:tr>
  </w:tbl>
  <w:p w14:paraId="73EC5CC6" w14:textId="77777777" w:rsidR="00F37030" w:rsidRDefault="00F37030">
    <w:pPr>
      <w:pStyle w:val="Header"/>
    </w:pPr>
  </w:p>
  <w:p w14:paraId="4DB01882" w14:textId="77777777" w:rsidR="00F37030" w:rsidRDefault="00F37030">
    <w:pPr>
      <w:pStyle w:val="Header"/>
      <w:rPr>
        <w:sz w:val="2"/>
        <w:szCs w:val="2"/>
      </w:rPr>
    </w:pPr>
  </w:p>
  <w:p w14:paraId="77A90160" w14:textId="77777777" w:rsidR="00F37030" w:rsidRDefault="00F37030">
    <w:pPr>
      <w:pStyle w:val="Header"/>
      <w:spacing w:line="14" w:lineRule="exact"/>
      <w:rPr>
        <w:sz w:val="4"/>
        <w:szCs w:val="4"/>
      </w:rPr>
    </w:pPr>
  </w:p>
</w:hdr>
</file>

<file path=word/intelligence2.xml><?xml version="1.0" encoding="utf-8"?>
<int2:intelligence xmlns:int2="http://schemas.microsoft.com/office/intelligence/2020/intelligence" xmlns:oel="http://schemas.microsoft.com/office/2019/extlst">
  <int2:observations>
    <int2:textHash int2:hashCode="VudC0iZq9zv1S6" int2:id="7G7hu1Tg">
      <int2:state int2:value="Rejected" int2:type="AugLoop_Text_Critique"/>
    </int2:textHash>
    <int2:textHash int2:hashCode="NWlbYPWUQGAw3S" int2:id="A6jUCaGD">
      <int2:state int2:value="Rejected" int2:type="AugLoop_Text_Critique"/>
    </int2:textHash>
    <int2:textHash int2:hashCode="M+lQXRKULoJZo8" int2:id="RRVnLbq8">
      <int2:state int2:value="Rejected" int2:type="AugLoop_Text_Critique"/>
    </int2:textHash>
    <int2:textHash int2:hashCode="qQYL1VJXEUWb/T" int2:id="VMVajqXv">
      <int2:state int2:value="Rejected" int2:type="AugLoop_Text_Critique"/>
    </int2:textHash>
    <int2:textHash int2:hashCode="FutVWIX4NEfjdN" int2:id="i5ceCYdu">
      <int2:state int2:value="Rejected" int2:type="AugLoop_Text_Critique"/>
    </int2:textHash>
    <int2:textHash int2:hashCode="N1rkDEZqVInHPy" int2:id="xDOAXxV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2C752F"/>
    <w:multiLevelType w:val="multilevel"/>
    <w:tmpl w:val="CB2625E2"/>
    <w:lvl w:ilvl="0">
      <w:start w:val="1"/>
      <w:numFmt w:val="upperRoman"/>
      <w:pStyle w:val="StyleRegHead111pt"/>
      <w:suff w:val="space"/>
      <w:lvlText w:val="%1. "/>
      <w:lvlJc w:val="center"/>
      <w:pPr>
        <w:ind w:left="0" w:firstLine="0"/>
      </w:pPr>
      <w:rPr>
        <w:rFonts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num w:numId="1" w16cid:durableId="301229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974ISO" w:val="-1"/>
  </w:docVars>
  <w:rsids>
    <w:rsidRoot w:val="004248BD"/>
    <w:rsid w:val="000068A7"/>
    <w:rsid w:val="00044003"/>
    <w:rsid w:val="00044598"/>
    <w:rsid w:val="00050A13"/>
    <w:rsid w:val="000804A7"/>
    <w:rsid w:val="000E6F65"/>
    <w:rsid w:val="001051BA"/>
    <w:rsid w:val="00141EB9"/>
    <w:rsid w:val="001D0F91"/>
    <w:rsid w:val="001D14E0"/>
    <w:rsid w:val="001E2FE1"/>
    <w:rsid w:val="001E3876"/>
    <w:rsid w:val="00216CB3"/>
    <w:rsid w:val="00222758"/>
    <w:rsid w:val="0022703A"/>
    <w:rsid w:val="00235CA9"/>
    <w:rsid w:val="00282546"/>
    <w:rsid w:val="00283C95"/>
    <w:rsid w:val="002A15CE"/>
    <w:rsid w:val="002A4CA4"/>
    <w:rsid w:val="002C2753"/>
    <w:rsid w:val="002D2B87"/>
    <w:rsid w:val="002F135C"/>
    <w:rsid w:val="002F7C18"/>
    <w:rsid w:val="00311699"/>
    <w:rsid w:val="003136F7"/>
    <w:rsid w:val="003478D4"/>
    <w:rsid w:val="00356DD7"/>
    <w:rsid w:val="00360890"/>
    <w:rsid w:val="00366FD7"/>
    <w:rsid w:val="00377480"/>
    <w:rsid w:val="003A0BB4"/>
    <w:rsid w:val="003C4C22"/>
    <w:rsid w:val="003C80D0"/>
    <w:rsid w:val="003F05D1"/>
    <w:rsid w:val="00403105"/>
    <w:rsid w:val="00405FB3"/>
    <w:rsid w:val="004248BD"/>
    <w:rsid w:val="00450EEA"/>
    <w:rsid w:val="004644C3"/>
    <w:rsid w:val="00472C3C"/>
    <w:rsid w:val="004D17BE"/>
    <w:rsid w:val="004D2F46"/>
    <w:rsid w:val="004E2C40"/>
    <w:rsid w:val="005242C9"/>
    <w:rsid w:val="00537CC5"/>
    <w:rsid w:val="0055A92D"/>
    <w:rsid w:val="00570577"/>
    <w:rsid w:val="005A256D"/>
    <w:rsid w:val="005B1074"/>
    <w:rsid w:val="005B1C9E"/>
    <w:rsid w:val="0061189A"/>
    <w:rsid w:val="0063717C"/>
    <w:rsid w:val="00694C7C"/>
    <w:rsid w:val="006B4918"/>
    <w:rsid w:val="006B7520"/>
    <w:rsid w:val="006D0849"/>
    <w:rsid w:val="006F32C1"/>
    <w:rsid w:val="00722806"/>
    <w:rsid w:val="00736ED2"/>
    <w:rsid w:val="00777AC5"/>
    <w:rsid w:val="0079336D"/>
    <w:rsid w:val="007965B6"/>
    <w:rsid w:val="007D6248"/>
    <w:rsid w:val="007D7E0D"/>
    <w:rsid w:val="007E12D6"/>
    <w:rsid w:val="007E27E3"/>
    <w:rsid w:val="00841D26"/>
    <w:rsid w:val="00857C29"/>
    <w:rsid w:val="00863150"/>
    <w:rsid w:val="0086577F"/>
    <w:rsid w:val="008E298E"/>
    <w:rsid w:val="009177A1"/>
    <w:rsid w:val="00951714"/>
    <w:rsid w:val="00953A36"/>
    <w:rsid w:val="00981D31"/>
    <w:rsid w:val="0099084D"/>
    <w:rsid w:val="009A61B8"/>
    <w:rsid w:val="009B1395"/>
    <w:rsid w:val="009B49BB"/>
    <w:rsid w:val="009D0F11"/>
    <w:rsid w:val="009D34BE"/>
    <w:rsid w:val="009E1537"/>
    <w:rsid w:val="009E2FBD"/>
    <w:rsid w:val="009F61CD"/>
    <w:rsid w:val="00A13B92"/>
    <w:rsid w:val="00A54D79"/>
    <w:rsid w:val="00A9140A"/>
    <w:rsid w:val="00AB164D"/>
    <w:rsid w:val="00AF2521"/>
    <w:rsid w:val="00B0451A"/>
    <w:rsid w:val="00B30A8C"/>
    <w:rsid w:val="00B3792D"/>
    <w:rsid w:val="00B45B53"/>
    <w:rsid w:val="00B61346"/>
    <w:rsid w:val="00B657DE"/>
    <w:rsid w:val="00B708B1"/>
    <w:rsid w:val="00BA26AD"/>
    <w:rsid w:val="00BA33D5"/>
    <w:rsid w:val="00BB0D79"/>
    <w:rsid w:val="00BB6132"/>
    <w:rsid w:val="00BC6DA1"/>
    <w:rsid w:val="00C069B3"/>
    <w:rsid w:val="00C12E1E"/>
    <w:rsid w:val="00C33E85"/>
    <w:rsid w:val="00C408D1"/>
    <w:rsid w:val="00C630BD"/>
    <w:rsid w:val="00C77344"/>
    <w:rsid w:val="00CC0EB7"/>
    <w:rsid w:val="00D032B4"/>
    <w:rsid w:val="00D1180E"/>
    <w:rsid w:val="00D131BD"/>
    <w:rsid w:val="00D36C4F"/>
    <w:rsid w:val="00D6268F"/>
    <w:rsid w:val="00D94FD5"/>
    <w:rsid w:val="00DC415A"/>
    <w:rsid w:val="00DE29BB"/>
    <w:rsid w:val="00DE434D"/>
    <w:rsid w:val="00DF4E03"/>
    <w:rsid w:val="00DF4F6B"/>
    <w:rsid w:val="00E268F7"/>
    <w:rsid w:val="00E3232E"/>
    <w:rsid w:val="00E323F4"/>
    <w:rsid w:val="00E341E6"/>
    <w:rsid w:val="00E5576A"/>
    <w:rsid w:val="00E60C4A"/>
    <w:rsid w:val="00E70E45"/>
    <w:rsid w:val="00E84A77"/>
    <w:rsid w:val="00EA614A"/>
    <w:rsid w:val="00ED333D"/>
    <w:rsid w:val="00EE5FD1"/>
    <w:rsid w:val="00F27817"/>
    <w:rsid w:val="00F3313D"/>
    <w:rsid w:val="00F37030"/>
    <w:rsid w:val="00F371A5"/>
    <w:rsid w:val="00F65050"/>
    <w:rsid w:val="00F6786E"/>
    <w:rsid w:val="00F72B9E"/>
    <w:rsid w:val="00FE1BEF"/>
    <w:rsid w:val="01663BFD"/>
    <w:rsid w:val="01743300"/>
    <w:rsid w:val="01DD37AD"/>
    <w:rsid w:val="022223A5"/>
    <w:rsid w:val="023E6383"/>
    <w:rsid w:val="0265DDE8"/>
    <w:rsid w:val="03213E38"/>
    <w:rsid w:val="0367CD37"/>
    <w:rsid w:val="0420FBD3"/>
    <w:rsid w:val="0436740A"/>
    <w:rsid w:val="04C4FC1F"/>
    <w:rsid w:val="05039D98"/>
    <w:rsid w:val="05334E90"/>
    <w:rsid w:val="053CBD9F"/>
    <w:rsid w:val="059016B3"/>
    <w:rsid w:val="062A4CA2"/>
    <w:rsid w:val="0647A423"/>
    <w:rsid w:val="0658DEFA"/>
    <w:rsid w:val="06D88E00"/>
    <w:rsid w:val="06ECA9A7"/>
    <w:rsid w:val="075BABC5"/>
    <w:rsid w:val="07D3B1D5"/>
    <w:rsid w:val="07E37484"/>
    <w:rsid w:val="07EC7558"/>
    <w:rsid w:val="07F4AF5B"/>
    <w:rsid w:val="07FC9CE1"/>
    <w:rsid w:val="08B01817"/>
    <w:rsid w:val="09106B56"/>
    <w:rsid w:val="0919C826"/>
    <w:rsid w:val="093438E6"/>
    <w:rsid w:val="09426D54"/>
    <w:rsid w:val="0961F4CF"/>
    <w:rsid w:val="09E1E50B"/>
    <w:rsid w:val="09FC8B73"/>
    <w:rsid w:val="0A0C67F5"/>
    <w:rsid w:val="0A8AE082"/>
    <w:rsid w:val="0B2C501D"/>
    <w:rsid w:val="0B3D63B6"/>
    <w:rsid w:val="0B426ED1"/>
    <w:rsid w:val="0B6AD7ED"/>
    <w:rsid w:val="0B72DF1C"/>
    <w:rsid w:val="0BE7B8D9"/>
    <w:rsid w:val="0C2DA783"/>
    <w:rsid w:val="0C346CDB"/>
    <w:rsid w:val="0C7D2AAA"/>
    <w:rsid w:val="0CD00E04"/>
    <w:rsid w:val="0CDE6A0A"/>
    <w:rsid w:val="0D0EAF7D"/>
    <w:rsid w:val="0D80D246"/>
    <w:rsid w:val="0D8D4B3E"/>
    <w:rsid w:val="0DC28144"/>
    <w:rsid w:val="0DC7DE19"/>
    <w:rsid w:val="0DD9FAFE"/>
    <w:rsid w:val="0DE8E501"/>
    <w:rsid w:val="0E20D266"/>
    <w:rsid w:val="0E38DF86"/>
    <w:rsid w:val="0E52B608"/>
    <w:rsid w:val="0E868EC6"/>
    <w:rsid w:val="0EAA7FDE"/>
    <w:rsid w:val="0F291B9F"/>
    <w:rsid w:val="0F7DAABD"/>
    <w:rsid w:val="0FB4CB6C"/>
    <w:rsid w:val="0FB9A80B"/>
    <w:rsid w:val="0FC93F95"/>
    <w:rsid w:val="0FE1E9B1"/>
    <w:rsid w:val="1018C25F"/>
    <w:rsid w:val="109F8E8F"/>
    <w:rsid w:val="10B87308"/>
    <w:rsid w:val="10FF7EDB"/>
    <w:rsid w:val="11197B1E"/>
    <w:rsid w:val="11509BCD"/>
    <w:rsid w:val="118CB86C"/>
    <w:rsid w:val="11AD63F0"/>
    <w:rsid w:val="11C88AE2"/>
    <w:rsid w:val="11D0601D"/>
    <w:rsid w:val="129B4F3C"/>
    <w:rsid w:val="13198A73"/>
    <w:rsid w:val="13493451"/>
    <w:rsid w:val="1375E9D2"/>
    <w:rsid w:val="1388C751"/>
    <w:rsid w:val="140A6A1C"/>
    <w:rsid w:val="141AC997"/>
    <w:rsid w:val="1431C2C8"/>
    <w:rsid w:val="147EC07F"/>
    <w:rsid w:val="148695BA"/>
    <w:rsid w:val="14896EFD"/>
    <w:rsid w:val="14BAB38C"/>
    <w:rsid w:val="152497B2"/>
    <w:rsid w:val="1568A095"/>
    <w:rsid w:val="15883ECC"/>
    <w:rsid w:val="15D67072"/>
    <w:rsid w:val="1668A2B6"/>
    <w:rsid w:val="1680D513"/>
    <w:rsid w:val="175B333B"/>
    <w:rsid w:val="17902C59"/>
    <w:rsid w:val="179C80B4"/>
    <w:rsid w:val="17B5A911"/>
    <w:rsid w:val="17F2544E"/>
    <w:rsid w:val="182444E8"/>
    <w:rsid w:val="182F2146"/>
    <w:rsid w:val="18C63BE1"/>
    <w:rsid w:val="18D432E4"/>
    <w:rsid w:val="18FF9D66"/>
    <w:rsid w:val="196A5653"/>
    <w:rsid w:val="19A3C4B5"/>
    <w:rsid w:val="1A5F554E"/>
    <w:rsid w:val="1A8342DF"/>
    <w:rsid w:val="1AED2C1E"/>
    <w:rsid w:val="1B2F41CA"/>
    <w:rsid w:val="1B544636"/>
    <w:rsid w:val="1C0BD3A6"/>
    <w:rsid w:val="1C5616B3"/>
    <w:rsid w:val="1C839526"/>
    <w:rsid w:val="1C934E74"/>
    <w:rsid w:val="1C9CBD83"/>
    <w:rsid w:val="1CE7B9D2"/>
    <w:rsid w:val="1CF01697"/>
    <w:rsid w:val="1D01516E"/>
    <w:rsid w:val="1D2FA997"/>
    <w:rsid w:val="1D5C9808"/>
    <w:rsid w:val="1D639FB1"/>
    <w:rsid w:val="1D74FE17"/>
    <w:rsid w:val="1DCE44AE"/>
    <w:rsid w:val="1DECC894"/>
    <w:rsid w:val="1DFFEBAC"/>
    <w:rsid w:val="1E06A92A"/>
    <w:rsid w:val="1E27ADD9"/>
    <w:rsid w:val="1E642AA0"/>
    <w:rsid w:val="1E82022F"/>
    <w:rsid w:val="1E8B2842"/>
    <w:rsid w:val="1EABDFFB"/>
    <w:rsid w:val="1F16FCA5"/>
    <w:rsid w:val="1F357D65"/>
    <w:rsid w:val="1F664520"/>
    <w:rsid w:val="1F9BBC0D"/>
    <w:rsid w:val="1FCAEF36"/>
    <w:rsid w:val="1FF8C199"/>
    <w:rsid w:val="2027B759"/>
    <w:rsid w:val="2046E5BF"/>
    <w:rsid w:val="208914E9"/>
    <w:rsid w:val="20EB85D7"/>
    <w:rsid w:val="20F94C9F"/>
    <w:rsid w:val="20F9BEF1"/>
    <w:rsid w:val="21021581"/>
    <w:rsid w:val="21378C6E"/>
    <w:rsid w:val="21570649"/>
    <w:rsid w:val="21B9A2F1"/>
    <w:rsid w:val="21C2C904"/>
    <w:rsid w:val="221C6967"/>
    <w:rsid w:val="227B152A"/>
    <w:rsid w:val="235F581B"/>
    <w:rsid w:val="2378CEF4"/>
    <w:rsid w:val="2385C5FD"/>
    <w:rsid w:val="2398B0FC"/>
    <w:rsid w:val="23E9D647"/>
    <w:rsid w:val="24612898"/>
    <w:rsid w:val="2492AE0E"/>
    <w:rsid w:val="25CB099F"/>
    <w:rsid w:val="262A776C"/>
    <w:rsid w:val="2668031D"/>
    <w:rsid w:val="266F3C85"/>
    <w:rsid w:val="267F597F"/>
    <w:rsid w:val="2691CA18"/>
    <w:rsid w:val="2696F8DD"/>
    <w:rsid w:val="26D51A77"/>
    <w:rsid w:val="26DE7963"/>
    <w:rsid w:val="271604EC"/>
    <w:rsid w:val="2739C51E"/>
    <w:rsid w:val="27AE3DA9"/>
    <w:rsid w:val="27DF210F"/>
    <w:rsid w:val="27F73D41"/>
    <w:rsid w:val="2832C93E"/>
    <w:rsid w:val="28D1497D"/>
    <w:rsid w:val="290D2766"/>
    <w:rsid w:val="29422084"/>
    <w:rsid w:val="294A0E0A"/>
    <w:rsid w:val="295341B2"/>
    <w:rsid w:val="29566265"/>
    <w:rsid w:val="29D5C86F"/>
    <w:rsid w:val="29DD7E6A"/>
    <w:rsid w:val="29EA1449"/>
    <w:rsid w:val="2A86270F"/>
    <w:rsid w:val="2AE5DE6B"/>
    <w:rsid w:val="2AEA4540"/>
    <w:rsid w:val="2B16C1D1"/>
    <w:rsid w:val="2B6A6A00"/>
    <w:rsid w:val="2C29E4F6"/>
    <w:rsid w:val="2C531220"/>
    <w:rsid w:val="2C79C146"/>
    <w:rsid w:val="2C8615A1"/>
    <w:rsid w:val="2CB29232"/>
    <w:rsid w:val="2D21B50B"/>
    <w:rsid w:val="2DBDC7D1"/>
    <w:rsid w:val="2DF93E9E"/>
    <w:rsid w:val="2E1591A7"/>
    <w:rsid w:val="2E1D7F2D"/>
    <w:rsid w:val="2E2347FE"/>
    <w:rsid w:val="2E3D76D7"/>
    <w:rsid w:val="2E6B1E2E"/>
    <w:rsid w:val="2EA93992"/>
    <w:rsid w:val="2EB46AEF"/>
    <w:rsid w:val="2EC9636E"/>
    <w:rsid w:val="2F3F0D46"/>
    <w:rsid w:val="2F7D9AE7"/>
    <w:rsid w:val="2FC5A3E9"/>
    <w:rsid w:val="2FC7B7E7"/>
    <w:rsid w:val="303D6BE4"/>
    <w:rsid w:val="303DDB23"/>
    <w:rsid w:val="304509F3"/>
    <w:rsid w:val="304E3A9E"/>
    <w:rsid w:val="304F60C1"/>
    <w:rsid w:val="305955CD"/>
    <w:rsid w:val="3079889B"/>
    <w:rsid w:val="30855BA9"/>
    <w:rsid w:val="31A0D3A6"/>
    <w:rsid w:val="31BF5532"/>
    <w:rsid w:val="31D9AB84"/>
    <w:rsid w:val="31F5262E"/>
    <w:rsid w:val="3247D487"/>
    <w:rsid w:val="324D98FD"/>
    <w:rsid w:val="3299267A"/>
    <w:rsid w:val="32AA6151"/>
    <w:rsid w:val="32C253A4"/>
    <w:rsid w:val="32FD44AB"/>
    <w:rsid w:val="333A4D31"/>
    <w:rsid w:val="333DEBF7"/>
    <w:rsid w:val="33E9EADC"/>
    <w:rsid w:val="340DD77B"/>
    <w:rsid w:val="3484D32B"/>
    <w:rsid w:val="34E02B8A"/>
    <w:rsid w:val="35D9ED4F"/>
    <w:rsid w:val="35F9F466"/>
    <w:rsid w:val="362E4E4B"/>
    <w:rsid w:val="3692C655"/>
    <w:rsid w:val="36BEB06C"/>
    <w:rsid w:val="36F49D2D"/>
    <w:rsid w:val="37C46173"/>
    <w:rsid w:val="381FE47B"/>
    <w:rsid w:val="38293771"/>
    <w:rsid w:val="385BD947"/>
    <w:rsid w:val="386467B2"/>
    <w:rsid w:val="387931F6"/>
    <w:rsid w:val="38970E83"/>
    <w:rsid w:val="38BD5BFF"/>
    <w:rsid w:val="38FEE0C2"/>
    <w:rsid w:val="39118E11"/>
    <w:rsid w:val="3958444E"/>
    <w:rsid w:val="396B0824"/>
    <w:rsid w:val="39E4BD69"/>
    <w:rsid w:val="39ECAAEF"/>
    <w:rsid w:val="39FC31AF"/>
    <w:rsid w:val="3A8776FD"/>
    <w:rsid w:val="3AA4385F"/>
    <w:rsid w:val="3AAD5E72"/>
    <w:rsid w:val="3ADAD2A9"/>
    <w:rsid w:val="3B06D885"/>
    <w:rsid w:val="3B5FC1DE"/>
    <w:rsid w:val="3B73B3AB"/>
    <w:rsid w:val="3B9D01AA"/>
    <w:rsid w:val="3C078031"/>
    <w:rsid w:val="3C2C32A0"/>
    <w:rsid w:val="3C336C08"/>
    <w:rsid w:val="3C492ED3"/>
    <w:rsid w:val="3CCB3632"/>
    <w:rsid w:val="3CCC0D28"/>
    <w:rsid w:val="3D45068A"/>
    <w:rsid w:val="3D790184"/>
    <w:rsid w:val="3DE4FF34"/>
    <w:rsid w:val="3E3E7947"/>
    <w:rsid w:val="3E9A55FB"/>
    <w:rsid w:val="3EB82E8C"/>
    <w:rsid w:val="3EC01C12"/>
    <w:rsid w:val="3EDFA0E1"/>
    <w:rsid w:val="3F2AF874"/>
    <w:rsid w:val="3FCF7358"/>
    <w:rsid w:val="405C3AEF"/>
    <w:rsid w:val="406C4BEE"/>
    <w:rsid w:val="407C6DEF"/>
    <w:rsid w:val="40B66249"/>
    <w:rsid w:val="40D9BEE6"/>
    <w:rsid w:val="411C9FF6"/>
    <w:rsid w:val="4180BC21"/>
    <w:rsid w:val="4195E35B"/>
    <w:rsid w:val="41C59453"/>
    <w:rsid w:val="41EFCF4E"/>
    <w:rsid w:val="422C32DC"/>
    <w:rsid w:val="42BA250D"/>
    <w:rsid w:val="438EF6B8"/>
    <w:rsid w:val="43938D35"/>
    <w:rsid w:val="443DFA7A"/>
    <w:rsid w:val="454CB1D1"/>
    <w:rsid w:val="45C125F1"/>
    <w:rsid w:val="46CFCEAC"/>
    <w:rsid w:val="46DB8D72"/>
    <w:rsid w:val="478D9630"/>
    <w:rsid w:val="47E55B8D"/>
    <w:rsid w:val="47E6D998"/>
    <w:rsid w:val="485F10D2"/>
    <w:rsid w:val="4866FE58"/>
    <w:rsid w:val="48775DD3"/>
    <w:rsid w:val="48D5177D"/>
    <w:rsid w:val="49610414"/>
    <w:rsid w:val="496660E9"/>
    <w:rsid w:val="49A1730F"/>
    <w:rsid w:val="49D206FE"/>
    <w:rsid w:val="49F39315"/>
    <w:rsid w:val="4A278F1A"/>
    <w:rsid w:val="4A5D448F"/>
    <w:rsid w:val="4ABEBD14"/>
    <w:rsid w:val="4AC3823C"/>
    <w:rsid w:val="4B1225FF"/>
    <w:rsid w:val="4B5B87F1"/>
    <w:rsid w:val="4B779963"/>
    <w:rsid w:val="4B96B194"/>
    <w:rsid w:val="4BAEFE95"/>
    <w:rsid w:val="4BD4A6B2"/>
    <w:rsid w:val="4CB8CCB0"/>
    <w:rsid w:val="4D3A6F7B"/>
    <w:rsid w:val="4D4916A9"/>
    <w:rsid w:val="4D4ACEF6"/>
    <w:rsid w:val="4D59F44A"/>
    <w:rsid w:val="4D5EAA7B"/>
    <w:rsid w:val="4D73453A"/>
    <w:rsid w:val="4D9F1991"/>
    <w:rsid w:val="4DC6186D"/>
    <w:rsid w:val="4E289735"/>
    <w:rsid w:val="4E549D11"/>
    <w:rsid w:val="4F246157"/>
    <w:rsid w:val="4F30B5B2"/>
    <w:rsid w:val="4FB0DA72"/>
    <w:rsid w:val="4FBB33EE"/>
    <w:rsid w:val="5035AB45"/>
    <w:rsid w:val="50414882"/>
    <w:rsid w:val="5066C409"/>
    <w:rsid w:val="50998292"/>
    <w:rsid w:val="50E02962"/>
    <w:rsid w:val="50E3691B"/>
    <w:rsid w:val="51338276"/>
    <w:rsid w:val="514BEC1D"/>
    <w:rsid w:val="5168257D"/>
    <w:rsid w:val="518C3DD3"/>
    <w:rsid w:val="52819E87"/>
    <w:rsid w:val="52CF52D7"/>
    <w:rsid w:val="52E4FF74"/>
    <w:rsid w:val="52E7BC7E"/>
    <w:rsid w:val="52FC0858"/>
    <w:rsid w:val="52FDDC7C"/>
    <w:rsid w:val="53280E34"/>
    <w:rsid w:val="5354FCA5"/>
    <w:rsid w:val="549FC63F"/>
    <w:rsid w:val="54C3DE95"/>
    <w:rsid w:val="54D7A4A9"/>
    <w:rsid w:val="5514B9A5"/>
    <w:rsid w:val="551DBABD"/>
    <w:rsid w:val="5559B2D6"/>
    <w:rsid w:val="5634EE35"/>
    <w:rsid w:val="563B96A0"/>
    <w:rsid w:val="565FAEF6"/>
    <w:rsid w:val="56C3D346"/>
    <w:rsid w:val="56C92A19"/>
    <w:rsid w:val="5708C416"/>
    <w:rsid w:val="576F1338"/>
    <w:rsid w:val="579A6735"/>
    <w:rsid w:val="57CD272E"/>
    <w:rsid w:val="57F49983"/>
    <w:rsid w:val="585447ED"/>
    <w:rsid w:val="58A49477"/>
    <w:rsid w:val="58D13371"/>
    <w:rsid w:val="58E2ACF8"/>
    <w:rsid w:val="59310502"/>
    <w:rsid w:val="596B49DC"/>
    <w:rsid w:val="59FDD354"/>
    <w:rsid w:val="5A080A57"/>
    <w:rsid w:val="5A51C274"/>
    <w:rsid w:val="5AB71F6C"/>
    <w:rsid w:val="5B1FB81E"/>
    <w:rsid w:val="5B714197"/>
    <w:rsid w:val="5BC442E6"/>
    <w:rsid w:val="5BDC3539"/>
    <w:rsid w:val="5BDF6286"/>
    <w:rsid w:val="5BE73A9F"/>
    <w:rsid w:val="5C9FBCF5"/>
    <w:rsid w:val="5CBE3FF4"/>
    <w:rsid w:val="5CF40790"/>
    <w:rsid w:val="5D0333FE"/>
    <w:rsid w:val="5D58CF47"/>
    <w:rsid w:val="5D76880F"/>
    <w:rsid w:val="5D9EB4C0"/>
    <w:rsid w:val="5DAB091B"/>
    <w:rsid w:val="5DD43645"/>
    <w:rsid w:val="5DE86EE1"/>
    <w:rsid w:val="5E375DC5"/>
    <w:rsid w:val="5E395E2A"/>
    <w:rsid w:val="5E3EBAFF"/>
    <w:rsid w:val="5E75D1E8"/>
    <w:rsid w:val="5E97AF4C"/>
    <w:rsid w:val="5F3A8521"/>
    <w:rsid w:val="5F47E362"/>
    <w:rsid w:val="5F588A57"/>
    <w:rsid w:val="5F7006A6"/>
    <w:rsid w:val="602BA852"/>
    <w:rsid w:val="60613FBA"/>
    <w:rsid w:val="607E8BAC"/>
    <w:rsid w:val="610BD707"/>
    <w:rsid w:val="612C0785"/>
    <w:rsid w:val="612F4FEE"/>
    <w:rsid w:val="622AAB2E"/>
    <w:rsid w:val="6284E9B9"/>
    <w:rsid w:val="62A7A768"/>
    <w:rsid w:val="62D9C043"/>
    <w:rsid w:val="62ED5FE3"/>
    <w:rsid w:val="630CCF4D"/>
    <w:rsid w:val="630EFE79"/>
    <w:rsid w:val="631D011D"/>
    <w:rsid w:val="636B206F"/>
    <w:rsid w:val="63723D31"/>
    <w:rsid w:val="63CE597F"/>
    <w:rsid w:val="63D87ADE"/>
    <w:rsid w:val="641E8B98"/>
    <w:rsid w:val="645629FB"/>
    <w:rsid w:val="646E861D"/>
    <w:rsid w:val="6482D001"/>
    <w:rsid w:val="649A6F5F"/>
    <w:rsid w:val="64A6C8A4"/>
    <w:rsid w:val="64A89FAE"/>
    <w:rsid w:val="65088884"/>
    <w:rsid w:val="65631068"/>
    <w:rsid w:val="65A9C6A5"/>
    <w:rsid w:val="65BBBBB9"/>
    <w:rsid w:val="65DF482A"/>
    <w:rsid w:val="6649CCE4"/>
    <w:rsid w:val="668A210A"/>
    <w:rsid w:val="66BAA271"/>
    <w:rsid w:val="6722152D"/>
    <w:rsid w:val="677D5BC7"/>
    <w:rsid w:val="67BA70C3"/>
    <w:rsid w:val="67C73218"/>
    <w:rsid w:val="6836BA37"/>
    <w:rsid w:val="68943C6D"/>
    <w:rsid w:val="693A61D3"/>
    <w:rsid w:val="69776638"/>
    <w:rsid w:val="69A8EF59"/>
    <w:rsid w:val="69D28A98"/>
    <w:rsid w:val="6A0CEA7C"/>
    <w:rsid w:val="6A383641"/>
    <w:rsid w:val="6A6CC392"/>
    <w:rsid w:val="6ACA721A"/>
    <w:rsid w:val="6ADE639E"/>
    <w:rsid w:val="6B2153E2"/>
    <w:rsid w:val="6B3F27D0"/>
    <w:rsid w:val="6B6A9D04"/>
    <w:rsid w:val="6B6E5AF9"/>
    <w:rsid w:val="6B90A34A"/>
    <w:rsid w:val="6BD406A2"/>
    <w:rsid w:val="6CFFF71A"/>
    <w:rsid w:val="6D30CA43"/>
    <w:rsid w:val="6D6FD703"/>
    <w:rsid w:val="6DE3E112"/>
    <w:rsid w:val="6E64C7DD"/>
    <w:rsid w:val="6E76C892"/>
    <w:rsid w:val="6EDAC0E5"/>
    <w:rsid w:val="6EF445F2"/>
    <w:rsid w:val="6F0BA764"/>
    <w:rsid w:val="6F3559D7"/>
    <w:rsid w:val="6F98B3F1"/>
    <w:rsid w:val="6FD1E148"/>
    <w:rsid w:val="6FF89CB0"/>
    <w:rsid w:val="7003FA3A"/>
    <w:rsid w:val="703797DC"/>
    <w:rsid w:val="70BA0EE9"/>
    <w:rsid w:val="7129E857"/>
    <w:rsid w:val="713125CB"/>
    <w:rsid w:val="71946D11"/>
    <w:rsid w:val="71DB55C3"/>
    <w:rsid w:val="71EEF912"/>
    <w:rsid w:val="7212A848"/>
    <w:rsid w:val="721F4500"/>
    <w:rsid w:val="73A524F6"/>
    <w:rsid w:val="73DF1887"/>
    <w:rsid w:val="74B09329"/>
    <w:rsid w:val="759C6896"/>
    <w:rsid w:val="75B75051"/>
    <w:rsid w:val="75B985E8"/>
    <w:rsid w:val="76238955"/>
    <w:rsid w:val="762554B0"/>
    <w:rsid w:val="763B772F"/>
    <w:rsid w:val="76927DD6"/>
    <w:rsid w:val="77099CF8"/>
    <w:rsid w:val="7729506D"/>
    <w:rsid w:val="77951745"/>
    <w:rsid w:val="77C91BBA"/>
    <w:rsid w:val="78251A8F"/>
    <w:rsid w:val="78387E2E"/>
    <w:rsid w:val="7842A9C1"/>
    <w:rsid w:val="78BABCBC"/>
    <w:rsid w:val="78FB4045"/>
    <w:rsid w:val="795B2A17"/>
    <w:rsid w:val="79D225C7"/>
    <w:rsid w:val="7A4CA555"/>
    <w:rsid w:val="7A647202"/>
    <w:rsid w:val="7A722C06"/>
    <w:rsid w:val="7B0EE852"/>
    <w:rsid w:val="7B157E79"/>
    <w:rsid w:val="7B240B43"/>
    <w:rsid w:val="7B70F259"/>
    <w:rsid w:val="7B823809"/>
    <w:rsid w:val="7BB98A8E"/>
    <w:rsid w:val="7BE018F1"/>
    <w:rsid w:val="7BE2AE43"/>
    <w:rsid w:val="7BE9346C"/>
    <w:rsid w:val="7C1DE6B5"/>
    <w:rsid w:val="7C92CAD9"/>
    <w:rsid w:val="7CD71FB8"/>
    <w:rsid w:val="7CFB7866"/>
    <w:rsid w:val="7D1C8A5F"/>
    <w:rsid w:val="7D335634"/>
    <w:rsid w:val="7D3F3B2C"/>
    <w:rsid w:val="7D574BAE"/>
    <w:rsid w:val="7D844617"/>
    <w:rsid w:val="7E02C115"/>
    <w:rsid w:val="7E4CDF16"/>
    <w:rsid w:val="7E5E234A"/>
    <w:rsid w:val="7EFE9156"/>
    <w:rsid w:val="7F187869"/>
    <w:rsid w:val="7F201678"/>
    <w:rsid w:val="7F235F4F"/>
    <w:rsid w:val="7F60682E"/>
    <w:rsid w:val="7F8D56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14B8A1"/>
  <w15:chartTrackingRefBased/>
  <w15:docId w15:val="{AF45A8E3-5630-4E61-92CF-C2ACD5BB4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s="Arial"/>
      <w:sz w:val="22"/>
      <w:szCs w:val="22"/>
      <w:lang w:val="en-GB" w:eastAsia="en-US"/>
    </w:rPr>
  </w:style>
  <w:style w:type="paragraph" w:styleId="Heading1">
    <w:name w:val="heading 1"/>
    <w:basedOn w:val="Normal"/>
    <w:next w:val="Normal"/>
    <w:qFormat/>
    <w:pPr>
      <w:keepNext/>
      <w:spacing w:before="120" w:after="200"/>
      <w:outlineLvl w:val="0"/>
    </w:pPr>
    <w:rPr>
      <w:b/>
      <w:bCs/>
      <w:sz w:val="24"/>
      <w:szCs w:val="24"/>
    </w:rPr>
  </w:style>
  <w:style w:type="paragraph" w:styleId="Heading2">
    <w:name w:val="heading 2"/>
    <w:basedOn w:val="Heading1"/>
    <w:next w:val="Normal"/>
    <w:qFormat/>
    <w:pPr>
      <w:spacing w:before="0"/>
      <w:ind w:left="567" w:hanging="567"/>
      <w:outlineLvl w:val="1"/>
    </w:pPr>
    <w:rPr>
      <w:sz w:val="22"/>
      <w:szCs w:val="22"/>
    </w:rPr>
  </w:style>
  <w:style w:type="paragraph" w:styleId="Heading3">
    <w:name w:val="heading 3"/>
    <w:basedOn w:val="Heading2"/>
    <w:next w:val="Normal"/>
    <w:qFormat/>
    <w:pPr>
      <w:outlineLvl w:val="2"/>
    </w:pPr>
    <w:rPr>
      <w:b w:val="0"/>
      <w:bCs w:val="0"/>
    </w:rPr>
  </w:style>
  <w:style w:type="paragraph" w:styleId="Heading4">
    <w:name w:val="heading 4"/>
    <w:basedOn w:val="Heading3"/>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style>
  <w:style w:type="paragraph" w:styleId="Footer">
    <w:name w:val="footer"/>
    <w:basedOn w:val="Normal"/>
    <w:pPr>
      <w:tabs>
        <w:tab w:val="center" w:pos="4820"/>
        <w:tab w:val="right" w:pos="9639"/>
      </w:tabs>
    </w:pPr>
  </w:style>
  <w:style w:type="paragraph" w:customStyle="1" w:styleId="ISOMB">
    <w:name w:val="ISO_MB"/>
    <w:basedOn w:val="Normal"/>
    <w:pPr>
      <w:spacing w:before="210" w:line="210" w:lineRule="exact"/>
      <w:jc w:val="left"/>
    </w:pPr>
    <w:rPr>
      <w:sz w:val="18"/>
      <w:szCs w:val="18"/>
    </w:rPr>
  </w:style>
  <w:style w:type="paragraph" w:customStyle="1" w:styleId="ISOClause">
    <w:name w:val="ISO_Clause"/>
    <w:basedOn w:val="Normal"/>
    <w:pPr>
      <w:spacing w:before="210" w:line="210" w:lineRule="exact"/>
      <w:jc w:val="left"/>
    </w:pPr>
    <w:rPr>
      <w:sz w:val="18"/>
      <w:szCs w:val="18"/>
    </w:rPr>
  </w:style>
  <w:style w:type="paragraph" w:customStyle="1" w:styleId="ISOParagraph">
    <w:name w:val="ISO_Paragraph"/>
    <w:basedOn w:val="Normal"/>
    <w:pPr>
      <w:spacing w:before="210" w:line="210" w:lineRule="exact"/>
      <w:jc w:val="left"/>
    </w:pPr>
    <w:rPr>
      <w:sz w:val="18"/>
      <w:szCs w:val="18"/>
    </w:rPr>
  </w:style>
  <w:style w:type="character" w:styleId="PageNumber">
    <w:name w:val="page number"/>
    <w:basedOn w:val="DefaultParagraphFont"/>
    <w:rPr>
      <w:sz w:val="20"/>
      <w:szCs w:val="20"/>
    </w:rPr>
  </w:style>
  <w:style w:type="paragraph" w:customStyle="1" w:styleId="ISOCommType">
    <w:name w:val="ISO_Comm_Type"/>
    <w:basedOn w:val="Normal"/>
    <w:pPr>
      <w:spacing w:before="210" w:line="210" w:lineRule="exact"/>
      <w:jc w:val="left"/>
    </w:pPr>
    <w:rPr>
      <w:sz w:val="18"/>
      <w:szCs w:val="18"/>
    </w:rPr>
  </w:style>
  <w:style w:type="paragraph" w:customStyle="1" w:styleId="ISOComments">
    <w:name w:val="ISO_Comments"/>
    <w:basedOn w:val="Normal"/>
    <w:pPr>
      <w:spacing w:before="210" w:line="210" w:lineRule="exact"/>
      <w:jc w:val="left"/>
    </w:pPr>
    <w:rPr>
      <w:sz w:val="18"/>
      <w:szCs w:val="18"/>
    </w:rPr>
  </w:style>
  <w:style w:type="paragraph" w:customStyle="1" w:styleId="ISOChange">
    <w:name w:val="ISO_Change"/>
    <w:basedOn w:val="Normal"/>
    <w:pPr>
      <w:spacing w:before="210" w:line="210" w:lineRule="exact"/>
      <w:jc w:val="left"/>
    </w:pPr>
    <w:rPr>
      <w:sz w:val="18"/>
      <w:szCs w:val="18"/>
    </w:rPr>
  </w:style>
  <w:style w:type="paragraph" w:customStyle="1" w:styleId="ISOSecretObservations">
    <w:name w:val="ISO_Secret_Observations"/>
    <w:basedOn w:val="Normal"/>
    <w:pPr>
      <w:spacing w:before="210" w:line="210" w:lineRule="exact"/>
      <w:jc w:val="left"/>
    </w:pPr>
    <w:rPr>
      <w:sz w:val="18"/>
      <w:szCs w:val="18"/>
    </w:rPr>
  </w:style>
  <w:style w:type="character" w:customStyle="1" w:styleId="MTEquationSection">
    <w:name w:val="MTEquationSection"/>
    <w:basedOn w:val="DefaultParagraphFont"/>
    <w:rPr>
      <w:color w:val="FF0000"/>
      <w:sz w:val="16"/>
      <w:szCs w:val="16"/>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character" w:customStyle="1" w:styleId="mtequationsection0">
    <w:name w:val="mtequationsection"/>
    <w:basedOn w:val="DefaultParagraphFont"/>
  </w:style>
  <w:style w:type="paragraph" w:customStyle="1" w:styleId="RegHead2">
    <w:name w:val="RegHead2"/>
    <w:basedOn w:val="Normal"/>
    <w:next w:val="Normal"/>
    <w:rsid w:val="005B1074"/>
    <w:pPr>
      <w:keepNext/>
      <w:numPr>
        <w:ilvl w:val="1"/>
        <w:numId w:val="1"/>
      </w:numPr>
      <w:spacing w:before="180"/>
      <w:jc w:val="center"/>
    </w:pPr>
    <w:rPr>
      <w:rFonts w:ascii="Times New Roman" w:hAnsi="Times New Roman" w:cs="Times New Roman"/>
      <w:b/>
      <w:szCs w:val="20"/>
    </w:rPr>
  </w:style>
  <w:style w:type="paragraph" w:customStyle="1" w:styleId="RegHead3">
    <w:name w:val="RegHead3"/>
    <w:basedOn w:val="Normal"/>
    <w:next w:val="Normal"/>
    <w:rsid w:val="005B1074"/>
    <w:pPr>
      <w:numPr>
        <w:ilvl w:val="2"/>
        <w:numId w:val="1"/>
      </w:numPr>
      <w:spacing w:before="180"/>
      <w:jc w:val="center"/>
    </w:pPr>
    <w:rPr>
      <w:rFonts w:ascii="Times New Roman" w:hAnsi="Times New Roman" w:cs="Times New Roman"/>
      <w:szCs w:val="20"/>
      <w:u w:val="single"/>
    </w:rPr>
  </w:style>
  <w:style w:type="paragraph" w:customStyle="1" w:styleId="RegPara">
    <w:name w:val="RegPara"/>
    <w:basedOn w:val="Normal"/>
    <w:rsid w:val="005B1074"/>
    <w:pPr>
      <w:numPr>
        <w:ilvl w:val="3"/>
        <w:numId w:val="1"/>
      </w:numPr>
      <w:spacing w:before="180"/>
      <w:jc w:val="left"/>
    </w:pPr>
    <w:rPr>
      <w:rFonts w:ascii="Times New Roman" w:hAnsi="Times New Roman" w:cs="Times New Roman"/>
      <w:szCs w:val="20"/>
      <w:lang w:eastAsia="de-DE"/>
    </w:rPr>
  </w:style>
  <w:style w:type="paragraph" w:customStyle="1" w:styleId="StyleRegHead111pt">
    <w:name w:val="Style RegHead1 + 11 pt"/>
    <w:basedOn w:val="Normal"/>
    <w:rsid w:val="005B1074"/>
    <w:pPr>
      <w:keepNext/>
      <w:numPr>
        <w:numId w:val="1"/>
      </w:numPr>
      <w:spacing w:before="180"/>
      <w:jc w:val="center"/>
    </w:pPr>
    <w:rPr>
      <w:rFonts w:ascii="Times New Roman Bold" w:hAnsi="Times New Roman Bold" w:cs="Times New Roman Bold"/>
      <w:b/>
    </w:rPr>
  </w:style>
  <w:style w:type="paragraph" w:styleId="EndnoteText">
    <w:name w:val="endnote text"/>
    <w:basedOn w:val="Normal"/>
    <w:link w:val="EndnoteTextChar"/>
    <w:uiPriority w:val="99"/>
    <w:unhideWhenUsed/>
    <w:rsid w:val="007D7E0D"/>
    <w:pPr>
      <w:jc w:val="left"/>
    </w:pPr>
    <w:rPr>
      <w:rFonts w:asciiTheme="minorHAnsi" w:eastAsiaTheme="minorHAnsi" w:hAnsiTheme="minorHAnsi" w:cstheme="minorBidi"/>
      <w:kern w:val="2"/>
      <w:sz w:val="20"/>
      <w:szCs w:val="20"/>
      <w:lang w:val="en-US"/>
      <w14:ligatures w14:val="standardContextual"/>
    </w:rPr>
  </w:style>
  <w:style w:type="character" w:customStyle="1" w:styleId="EndnoteTextChar">
    <w:name w:val="Endnote Text Char"/>
    <w:basedOn w:val="DefaultParagraphFont"/>
    <w:link w:val="EndnoteText"/>
    <w:uiPriority w:val="99"/>
    <w:rsid w:val="007D7E0D"/>
    <w:rPr>
      <w:rFonts w:asciiTheme="minorHAnsi" w:eastAsiaTheme="minorHAnsi" w:hAnsiTheme="minorHAnsi" w:cstheme="minorBidi"/>
      <w:kern w:val="2"/>
      <w:lang w:eastAsia="en-US"/>
      <w14:ligatures w14:val="standardContextual"/>
    </w:rPr>
  </w:style>
  <w:style w:type="character" w:styleId="Hyperlink">
    <w:name w:val="Hyperlink"/>
    <w:basedOn w:val="DefaultParagraphFont"/>
    <w:uiPriority w:val="99"/>
    <w:unhideWhenUsed/>
    <w:rsid w:val="007D7E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laybrick.org/clay-brick-production-southern-africa"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https://doi.org/10.3929/ethz-b-00058095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bdirect.org/cabdirect/abstract/19896708359" TargetMode="External"/><Relationship Id="rId5" Type="http://schemas.openxmlformats.org/officeDocument/2006/relationships/styles" Target="styles.xml"/><Relationship Id="rId15" Type="http://schemas.openxmlformats.org/officeDocument/2006/relationships/hyperlink" Target="https://doi.org/10.1016/j.sbspro.2015.11.095" TargetMode="External"/><Relationship Id="rId10" Type="http://schemas.openxmlformats.org/officeDocument/2006/relationships/hyperlink" Target="https://doi.org/10.1016/j.scitotenv.2008.09.040"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i.org/10.3390/land80300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CE0C29A8A35543B2519DC3D53AF9E2" ma:contentTypeVersion="13" ma:contentTypeDescription="Create a new document." ma:contentTypeScope="" ma:versionID="4834cdb16e03896acc7f1fc61831d5d7">
  <xsd:schema xmlns:xsd="http://www.w3.org/2001/XMLSchema" xmlns:xs="http://www.w3.org/2001/XMLSchema" xmlns:p="http://schemas.microsoft.com/office/2006/metadata/properties" xmlns:ns2="a292771c-53bc-4293-9794-0b179baa85e7" xmlns:ns3="866b9c34-64a5-4a57-80cd-72d6c9f7ea24" targetNamespace="http://schemas.microsoft.com/office/2006/metadata/properties" ma:root="true" ma:fieldsID="b0a5416875ce1cc150bf3ff88151be71" ns2:_="" ns3:_="">
    <xsd:import namespace="a292771c-53bc-4293-9794-0b179baa85e7"/>
    <xsd:import namespace="866b9c34-64a5-4a57-80cd-72d6c9f7ea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92771c-53bc-4293-9794-0b179baa8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52d567a-4381-4e5d-b5e4-90c2ae1e3f6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6b9c34-64a5-4a57-80cd-72d6c9f7ea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524dae1-333e-4fef-8248-90b37d958097}" ma:internalName="TaxCatchAll" ma:showField="CatchAllData" ma:web="866b9c34-64a5-4a57-80cd-72d6c9f7e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92771c-53bc-4293-9794-0b179baa85e7">
      <Terms xmlns="http://schemas.microsoft.com/office/infopath/2007/PartnerControls"/>
    </lcf76f155ced4ddcb4097134ff3c332f>
    <TaxCatchAll xmlns="866b9c34-64a5-4a57-80cd-72d6c9f7ea24" xsi:nil="true"/>
    <SharedWithUsers xmlns="866b9c34-64a5-4a57-80cd-72d6c9f7ea24">
      <UserInfo>
        <DisplayName>Fabio Marques</DisplayName>
        <AccountId>88</AccountId>
        <AccountType/>
      </UserInfo>
    </SharedWithUsers>
  </documentManagement>
</p:properties>
</file>

<file path=customXml/itemProps1.xml><?xml version="1.0" encoding="utf-8"?>
<ds:datastoreItem xmlns:ds="http://schemas.openxmlformats.org/officeDocument/2006/customXml" ds:itemID="{DD637C32-24D8-449A-A41A-DB1863C4E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92771c-53bc-4293-9794-0b179baa85e7"/>
    <ds:schemaRef ds:uri="866b9c34-64a5-4a57-80cd-72d6c9f7e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99CDAC-AD2E-41D4-9D74-51CAC11DFC7D}">
  <ds:schemaRefs>
    <ds:schemaRef ds:uri="http://schemas.microsoft.com/sharepoint/v3/contenttype/forms"/>
  </ds:schemaRefs>
</ds:datastoreItem>
</file>

<file path=customXml/itemProps3.xml><?xml version="1.0" encoding="utf-8"?>
<ds:datastoreItem xmlns:ds="http://schemas.openxmlformats.org/officeDocument/2006/customXml" ds:itemID="{956BB2CA-589C-4437-A969-1BF9BFF8EF63}">
  <ds:schemaRefs>
    <ds:schemaRef ds:uri="http://schemas.microsoft.com/office/2006/metadata/properties"/>
    <ds:schemaRef ds:uri="http://schemas.microsoft.com/office/infopath/2007/PartnerControls"/>
    <ds:schemaRef ds:uri="a292771c-53bc-4293-9794-0b179baa85e7"/>
    <ds:schemaRef ds:uri="866b9c34-64a5-4a57-80cd-72d6c9f7ea24"/>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13</Pages>
  <Words>3272</Words>
  <Characters>18721</Characters>
  <Application>Microsoft Office Word</Application>
  <DocSecurity>0</DocSecurity>
  <Lines>382</Lines>
  <Paragraphs>123</Paragraphs>
  <ScaleCrop>false</ScaleCrop>
  <Company>ISO</Company>
  <LinksUpToDate>false</LinksUpToDate>
  <CharactersWithSpaces>21870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CommentsOn</dc:title>
  <dc:subject/>
  <dc:creator>dow</dc:creator>
  <cp:keywords/>
  <dc:description>FORM (ISO)</dc:description>
  <cp:lastModifiedBy>Jason Steele</cp:lastModifiedBy>
  <cp:revision>59</cp:revision>
  <cp:lastPrinted>2001-10-25T03:04:00Z</cp:lastPrinted>
  <dcterms:created xsi:type="dcterms:W3CDTF">2023-11-08T14:28:00Z</dcterms:created>
  <dcterms:modified xsi:type="dcterms:W3CDTF">2023-11-09T23:42:00Z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Operation">
    <vt:lpwstr>SavedAs</vt:lpwstr>
  </property>
  <property fmtid="{D5CDD505-2E9C-101B-9397-08002B2CF9AE}" pid="3" name="ContentTypeId">
    <vt:lpwstr>0x010100DFCE0C29A8A35543B2519DC3D53AF9E2</vt:lpwstr>
  </property>
  <property fmtid="{D5CDD505-2E9C-101B-9397-08002B2CF9AE}" pid="4" name="MediaServiceImageTags">
    <vt:lpwstr/>
  </property>
</Properties>
</file>