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2B620ED3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Name of submitter: </w:t>
      </w:r>
      <w:r w:rsidR="00D454EE">
        <w:t>Matthew Leach</w:t>
      </w:r>
      <w:r w:rsidR="00C37D08">
        <w:t xml:space="preserve"> and Samir Thapa </w:t>
      </w:r>
    </w:p>
    <w:p w14:paraId="1539A45C" w14:textId="4E300DFF" w:rsidR="00E60C4A" w:rsidRDefault="00E60C4A" w:rsidP="00E60C4A">
      <w:pPr>
        <w:pStyle w:val="StyleRegHead111pt"/>
        <w:numPr>
          <w:ilvl w:val="0"/>
          <w:numId w:val="0"/>
        </w:numPr>
        <w:jc w:val="left"/>
      </w:pPr>
      <w:r>
        <w:t>Affiliated organization of the submitter</w:t>
      </w:r>
      <w:r w:rsidR="006D0849">
        <w:t xml:space="preserve"> (if any)</w:t>
      </w:r>
      <w:r>
        <w:t xml:space="preserve">: </w:t>
      </w:r>
      <w:r w:rsidR="005441FD">
        <w:t>Modern Energy Cooking Services (MECS), Loughborough University</w:t>
      </w:r>
      <w:r w:rsidR="00C01EED">
        <w:t xml:space="preserve">, United Kingdom </w:t>
      </w:r>
    </w:p>
    <w:p w14:paraId="5F63183D" w14:textId="2079CE69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>
        <w:t xml:space="preserve">Contact email of submitter: </w:t>
      </w:r>
      <w:hyperlink r:id="rId11" w:history="1">
        <w:r w:rsidR="00603DA9" w:rsidRPr="009F3F90">
          <w:rPr>
            <w:rStyle w:val="Hyperlink"/>
          </w:rPr>
          <w:t>s.thapa@lboro.ac.uk</w:t>
        </w:r>
      </w:hyperlink>
      <w:r w:rsidR="00F46407">
        <w:t xml:space="preserve">; </w:t>
      </w:r>
      <w:hyperlink r:id="rId12" w:history="1">
        <w:r w:rsidR="00F46407" w:rsidRPr="009F3F90">
          <w:rPr>
            <w:rStyle w:val="Hyperlink"/>
          </w:rPr>
          <w:t>profmattleach@gmail.com</w:t>
        </w:r>
      </w:hyperlink>
      <w:r w:rsidR="00F46407">
        <w:t xml:space="preserve"> 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330"/>
        <w:gridCol w:w="1022"/>
        <w:gridCol w:w="992"/>
        <w:gridCol w:w="4762"/>
        <w:gridCol w:w="4253"/>
        <w:gridCol w:w="2552"/>
      </w:tblGrid>
      <w:tr w:rsidR="00863150" w14:paraId="44974AB3" w14:textId="77777777" w:rsidTr="00484F90">
        <w:trPr>
          <w:cantSplit/>
          <w:tblHeader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00484F90">
        <w:trPr>
          <w:cantSplit/>
          <w:tblHeader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smartTag w:uri="urn:schemas-microsoft-com:office:smarttags" w:element="place">
              <w:r>
                <w:rPr>
                  <w:b/>
                  <w:bCs/>
                  <w:sz w:val="16"/>
                  <w:szCs w:val="16"/>
                </w:rPr>
                <w:t>Para</w:t>
              </w:r>
            </w:smartTag>
            <w:r>
              <w:rPr>
                <w:b/>
                <w:bCs/>
                <w:sz w:val="16"/>
                <w:szCs w:val="16"/>
              </w:rPr>
              <w:t xml:space="preserve">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5F163D" w:rsidRPr="00BE0D93" w14:paraId="1C987185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6F7D" w14:textId="0D986390" w:rsidR="005F163D" w:rsidRDefault="00B05BDA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0552" w14:textId="0B80598F" w:rsidR="005F163D" w:rsidRPr="008E5D11" w:rsidRDefault="007F16D5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 xml:space="preserve">Pg </w:t>
            </w:r>
            <w:r w:rsidR="00426A9F" w:rsidRPr="008E5D11">
              <w:rPr>
                <w:sz w:val="16"/>
                <w:szCs w:val="16"/>
              </w:rPr>
              <w:t>5</w:t>
            </w:r>
            <w:r w:rsidRPr="008E5D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DFED1" w14:textId="01B2ADC0" w:rsidR="005F163D" w:rsidRPr="008E5D11" w:rsidRDefault="007F16D5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Para 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8493" w14:textId="6AF2150C" w:rsidR="005F163D" w:rsidRPr="008E5D11" w:rsidRDefault="00201690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8E5D11"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BD6B" w14:textId="1DA647FD" w:rsidR="005F163D" w:rsidRPr="008E5D11" w:rsidRDefault="00132899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 xml:space="preserve">Appendix 2 provides </w:t>
            </w:r>
            <w:r w:rsidR="00546ED6" w:rsidRPr="008E5D11">
              <w:rPr>
                <w:sz w:val="16"/>
                <w:szCs w:val="16"/>
              </w:rPr>
              <w:t>clear arguments why SOC is not included in the assessment, both due to lack of dat</w:t>
            </w:r>
            <w:r w:rsidR="000352D6" w:rsidRPr="008E5D11">
              <w:rPr>
                <w:sz w:val="16"/>
                <w:szCs w:val="16"/>
              </w:rPr>
              <w:t>a</w:t>
            </w:r>
            <w:r w:rsidR="00546ED6" w:rsidRPr="008E5D11">
              <w:rPr>
                <w:sz w:val="16"/>
                <w:szCs w:val="16"/>
              </w:rPr>
              <w:t xml:space="preserve"> but also lack of evidence that this is a significant issue for fNRB.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6653" w14:textId="6581FDA5" w:rsidR="005F163D" w:rsidRPr="008E5D11" w:rsidRDefault="003056FC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Suggest this is reflected in any summaries of the method (such as para 15), as otherwise seems like a significant gap.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D2842D3" w14:textId="77777777" w:rsidR="005F163D" w:rsidRPr="00BE0D93" w:rsidRDefault="005F163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5F163D" w:rsidRPr="00BE0D93" w14:paraId="01342B3B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6A5E" w14:textId="61C0744E" w:rsidR="005F163D" w:rsidRDefault="00B05BDA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89E4" w14:textId="0F248370" w:rsidR="005F163D" w:rsidRPr="008E5D11" w:rsidRDefault="0026738E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Pg 6</w:t>
            </w:r>
            <w:r w:rsidR="007F16D5" w:rsidRPr="008E5D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F54" w14:textId="0E1ABEC3" w:rsidR="005F163D" w:rsidRPr="008E5D11" w:rsidRDefault="007F16D5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Para 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C8A5" w14:textId="5C4B7091" w:rsidR="005F163D" w:rsidRPr="008E5D11" w:rsidRDefault="00987911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8E5D11"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0E39" w14:textId="1C3AA83A" w:rsidR="005F163D" w:rsidRPr="008E5D11" w:rsidRDefault="00987911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Important</w:t>
            </w:r>
            <w:r w:rsidR="00E55355" w:rsidRPr="008E5D11">
              <w:rPr>
                <w:sz w:val="16"/>
                <w:szCs w:val="16"/>
              </w:rPr>
              <w:t xml:space="preserve"> to note that while ‘cottage’</w:t>
            </w:r>
            <w:r w:rsidRPr="008E5D11">
              <w:rPr>
                <w:sz w:val="16"/>
                <w:szCs w:val="16"/>
              </w:rPr>
              <w:t xml:space="preserve"> industry</w:t>
            </w:r>
            <w:r w:rsidR="00E55355" w:rsidRPr="008E5D11">
              <w:rPr>
                <w:sz w:val="16"/>
                <w:szCs w:val="16"/>
              </w:rPr>
              <w:t xml:space="preserve"> and commercial use of </w:t>
            </w:r>
            <w:r w:rsidRPr="008E5D11">
              <w:rPr>
                <w:sz w:val="16"/>
                <w:szCs w:val="16"/>
              </w:rPr>
              <w:t>w</w:t>
            </w:r>
            <w:r w:rsidR="00E55355" w:rsidRPr="008E5D11">
              <w:rPr>
                <w:sz w:val="16"/>
                <w:szCs w:val="16"/>
              </w:rPr>
              <w:t>ood</w:t>
            </w:r>
            <w:r w:rsidR="00AF6DBF" w:rsidRPr="008E5D11">
              <w:rPr>
                <w:sz w:val="16"/>
                <w:szCs w:val="16"/>
              </w:rPr>
              <w:t xml:space="preserve"> </w:t>
            </w:r>
            <w:r w:rsidR="00E55355" w:rsidRPr="008E5D11">
              <w:rPr>
                <w:sz w:val="16"/>
                <w:szCs w:val="16"/>
              </w:rPr>
              <w:t xml:space="preserve">fuel is not included, </w:t>
            </w:r>
            <w:r w:rsidRPr="008E5D11">
              <w:rPr>
                <w:sz w:val="16"/>
                <w:szCs w:val="16"/>
              </w:rPr>
              <w:t>production of charcoal (destined for residential use) surely is included.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87F5" w14:textId="32A10928" w:rsidR="005F163D" w:rsidRPr="008E5D11" w:rsidRDefault="00253F94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 xml:space="preserve">Suggest this is reflected in the summary </w:t>
            </w:r>
            <w:r w:rsidR="00DE6032" w:rsidRPr="008E5D11">
              <w:rPr>
                <w:sz w:val="16"/>
                <w:szCs w:val="16"/>
              </w:rPr>
              <w:t>(Para 17)</w:t>
            </w:r>
            <w:r w:rsidR="00890E07">
              <w:rPr>
                <w:sz w:val="16"/>
                <w:szCs w:val="16"/>
              </w:rPr>
              <w:t xml:space="preserve">, </w:t>
            </w:r>
            <w:r w:rsidR="001E04AE">
              <w:rPr>
                <w:sz w:val="16"/>
                <w:szCs w:val="16"/>
              </w:rPr>
              <w:t xml:space="preserve">as otherwise seems an important piece of information.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C3AA762" w14:textId="77777777" w:rsidR="005F163D" w:rsidRPr="00BE0D93" w:rsidRDefault="005F163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4C01CA" w:rsidRPr="00BE0D93" w14:paraId="2F825000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84F" w14:textId="5C230244" w:rsidR="004C01CA" w:rsidRDefault="0031612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F965" w14:textId="6CA3EC22" w:rsidR="004C01CA" w:rsidRPr="008E5D11" w:rsidRDefault="00AD0B29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Pg 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F0F" w14:textId="7E470458" w:rsidR="004C01CA" w:rsidRPr="008E5D11" w:rsidRDefault="002053B5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Para 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458" w14:textId="314A9D18" w:rsidR="004C01CA" w:rsidRPr="008E5D11" w:rsidRDefault="00271C70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8E5D11"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7243" w14:textId="01BD10CF" w:rsidR="004C01CA" w:rsidRPr="008E5D11" w:rsidRDefault="00FE6AC0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T</w:t>
            </w:r>
            <w:r w:rsidR="00464CDB" w:rsidRPr="008E5D11">
              <w:rPr>
                <w:sz w:val="16"/>
                <w:szCs w:val="16"/>
              </w:rPr>
              <w:t xml:space="preserve">he explanation on how the friction maps are derived could be improved.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5C91" w14:textId="08BFA914" w:rsidR="004C01CA" w:rsidRPr="008E5D11" w:rsidRDefault="007D3BF0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8E5D11">
              <w:rPr>
                <w:sz w:val="16"/>
                <w:szCs w:val="16"/>
              </w:rPr>
              <w:t>How the friction maps are used should be made clear</w:t>
            </w:r>
            <w:r w:rsidR="00FE6AC0" w:rsidRPr="008E5D11">
              <w:rPr>
                <w:sz w:val="16"/>
                <w:szCs w:val="16"/>
              </w:rPr>
              <w:t>.</w:t>
            </w:r>
            <w:r w:rsidR="00622996" w:rsidRPr="008E5D11">
              <w:rPr>
                <w:sz w:val="16"/>
                <w:szCs w:val="16"/>
              </w:rPr>
              <w:t xml:space="preserve"> Suggest including a</w:t>
            </w:r>
            <w:r w:rsidR="003D3316">
              <w:rPr>
                <w:sz w:val="16"/>
                <w:szCs w:val="16"/>
              </w:rPr>
              <w:t xml:space="preserve"> slightly</w:t>
            </w:r>
            <w:r w:rsidR="006F1969" w:rsidRPr="008E5D11">
              <w:rPr>
                <w:sz w:val="16"/>
                <w:szCs w:val="16"/>
              </w:rPr>
              <w:t xml:space="preserve"> elaborated version</w:t>
            </w:r>
            <w:r w:rsidR="00622996" w:rsidRPr="008E5D11">
              <w:rPr>
                <w:sz w:val="16"/>
                <w:szCs w:val="16"/>
              </w:rPr>
              <w:t xml:space="preserve"> </w:t>
            </w:r>
            <w:r w:rsidR="003D3316">
              <w:rPr>
                <w:sz w:val="16"/>
                <w:szCs w:val="16"/>
              </w:rPr>
              <w:t xml:space="preserve">as </w:t>
            </w:r>
            <w:r w:rsidR="00592F09">
              <w:rPr>
                <w:sz w:val="16"/>
                <w:szCs w:val="16"/>
              </w:rPr>
              <w:t>for the Pressure Maps</w:t>
            </w:r>
            <w:r w:rsidR="00622996" w:rsidRPr="008E5D11">
              <w:rPr>
                <w:sz w:val="16"/>
                <w:szCs w:val="16"/>
              </w:rPr>
              <w:t xml:space="preserve"> in Annex 2</w:t>
            </w:r>
            <w:r w:rsidR="006F1969" w:rsidRPr="008E5D11">
              <w:rPr>
                <w:sz w:val="16"/>
                <w:szCs w:val="16"/>
              </w:rPr>
              <w:t xml:space="preserve">, and then a concise version in the summary (Para 18).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46EF38E" w14:textId="77777777" w:rsidR="004C01CA" w:rsidRPr="00BE0D93" w:rsidRDefault="004C01CA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462947" w:rsidRPr="00BE0D93" w14:paraId="7BC818A1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5796" w14:textId="58824F5E" w:rsidR="00462947" w:rsidRDefault="0031612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EB10" w14:textId="1528EFCD" w:rsidR="00462947" w:rsidRPr="00BE0D93" w:rsidRDefault="00462947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</w:t>
            </w:r>
            <w:r w:rsidR="00C712D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, </w:t>
            </w:r>
            <w:r w:rsidR="001F2244">
              <w:rPr>
                <w:sz w:val="16"/>
                <w:szCs w:val="16"/>
              </w:rPr>
              <w:t>Pg. 11</w:t>
            </w:r>
            <w:r w:rsidR="00D24DCD">
              <w:rPr>
                <w:sz w:val="16"/>
                <w:szCs w:val="16"/>
              </w:rPr>
              <w:t xml:space="preserve">, </w:t>
            </w:r>
            <w:r w:rsidR="001F2244">
              <w:rPr>
                <w:sz w:val="16"/>
                <w:szCs w:val="16"/>
              </w:rPr>
              <w:t>12</w:t>
            </w:r>
            <w:r w:rsidR="00D24DCD">
              <w:rPr>
                <w:sz w:val="16"/>
                <w:szCs w:val="16"/>
              </w:rPr>
              <w:t xml:space="preserve"> &amp; 13</w:t>
            </w:r>
            <w:r w:rsidR="001F224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Table 1, 2 and 3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88ED" w14:textId="2EA9AAE0" w:rsidR="00462947" w:rsidRPr="00BE0D93" w:rsidRDefault="00462947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7A3D8" w14:textId="569551C6" w:rsidR="00462947" w:rsidRPr="00BE0D93" w:rsidRDefault="00416F64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328E" w14:textId="5FC52A2C" w:rsidR="001B31A6" w:rsidRDefault="00F1204A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="001B31A6" w:rsidRPr="001B31A6">
              <w:rPr>
                <w:sz w:val="16"/>
                <w:szCs w:val="16"/>
              </w:rPr>
              <w:t>he revisions to fNRB</w:t>
            </w:r>
            <w:r>
              <w:rPr>
                <w:sz w:val="16"/>
                <w:szCs w:val="16"/>
              </w:rPr>
              <w:t xml:space="preserve"> values and its appro</w:t>
            </w:r>
            <w:r w:rsidR="00F73A2A">
              <w:rPr>
                <w:sz w:val="16"/>
                <w:szCs w:val="16"/>
              </w:rPr>
              <w:t xml:space="preserve">val by the UN/CDM EB </w:t>
            </w:r>
            <w:r w:rsidR="001B31A6" w:rsidRPr="001B31A6">
              <w:rPr>
                <w:sz w:val="16"/>
                <w:szCs w:val="16"/>
              </w:rPr>
              <w:t>will amplify the cherry-picking by developers</w:t>
            </w:r>
            <w:r w:rsidR="00F73A2A">
              <w:rPr>
                <w:sz w:val="16"/>
                <w:szCs w:val="16"/>
              </w:rPr>
              <w:t xml:space="preserve">. This </w:t>
            </w:r>
            <w:r w:rsidR="001B31A6" w:rsidRPr="001B31A6">
              <w:rPr>
                <w:sz w:val="16"/>
                <w:szCs w:val="16"/>
              </w:rPr>
              <w:t>will exacerbate existing disparities in finance for clean cooking (and other) access</w:t>
            </w:r>
            <w:r w:rsidR="00A51F6F">
              <w:rPr>
                <w:sz w:val="16"/>
                <w:szCs w:val="16"/>
              </w:rPr>
              <w:t xml:space="preserve">. </w:t>
            </w:r>
            <w:r w:rsidR="00067F5E">
              <w:rPr>
                <w:sz w:val="16"/>
                <w:szCs w:val="16"/>
              </w:rPr>
              <w:t>S</w:t>
            </w:r>
            <w:r w:rsidR="00A51F6F">
              <w:rPr>
                <w:sz w:val="16"/>
                <w:szCs w:val="16"/>
              </w:rPr>
              <w:t xml:space="preserve">tudies already show limited/concentrated funding for clean cooking as it is. </w:t>
            </w:r>
            <w:hyperlink r:id="rId13" w:history="1">
              <w:r w:rsidR="006006BC" w:rsidRPr="009F3F90">
                <w:rPr>
                  <w:rStyle w:val="Hyperlink"/>
                  <w:sz w:val="16"/>
                  <w:szCs w:val="16"/>
                </w:rPr>
                <w:t>https://www.mdpi.com/1996-1073/16/16/5992</w:t>
              </w:r>
            </w:hyperlink>
            <w:r w:rsidR="006006BC">
              <w:rPr>
                <w:sz w:val="16"/>
                <w:szCs w:val="16"/>
              </w:rPr>
              <w:t xml:space="preserve"> </w:t>
            </w:r>
          </w:p>
          <w:p w14:paraId="04F574B5" w14:textId="1A261D08" w:rsidR="00462947" w:rsidRPr="00BE0D93" w:rsidRDefault="00462947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D51D" w14:textId="77777777" w:rsidR="00DC6B55" w:rsidRDefault="00DC6B55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Project </w:t>
            </w:r>
            <w:r w:rsidRPr="00DC6B55">
              <w:rPr>
                <w:sz w:val="16"/>
                <w:szCs w:val="16"/>
              </w:rPr>
              <w:t>developers could be encouraged to consider including areas with lower fNRB for the other SDG benefits that may arise</w:t>
            </w:r>
            <w:r>
              <w:rPr>
                <w:sz w:val="16"/>
                <w:szCs w:val="16"/>
              </w:rPr>
              <w:t xml:space="preserve"> </w:t>
            </w:r>
            <w:r w:rsidRPr="00DC6B55">
              <w:rPr>
                <w:sz w:val="16"/>
                <w:szCs w:val="16"/>
              </w:rPr>
              <w:t>and promote these to credit buyers.</w:t>
            </w:r>
            <w:r>
              <w:rPr>
                <w:sz w:val="16"/>
                <w:szCs w:val="16"/>
              </w:rPr>
              <w:t xml:space="preserve"> </w:t>
            </w:r>
          </w:p>
          <w:p w14:paraId="578AF222" w14:textId="3AE78BCC" w:rsidR="00462947" w:rsidRPr="00BE0D93" w:rsidRDefault="00DC6B55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Importantly, f</w:t>
            </w:r>
            <w:r w:rsidR="00012159" w:rsidRPr="001B31A6">
              <w:rPr>
                <w:sz w:val="16"/>
                <w:szCs w:val="16"/>
              </w:rPr>
              <w:t>unders that are not primarily focused on GHG emissions should consider focusing attention on the regions with lower fNRB.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877ECE7" w14:textId="77777777" w:rsidR="00462947" w:rsidRPr="00BE0D93" w:rsidRDefault="00462947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863150" w14:paraId="4452319A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1E2" w14:textId="5D2BC354" w:rsidR="00863150" w:rsidRPr="00462947" w:rsidRDefault="0031612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9B9C" w14:textId="39139F80" w:rsidR="00863150" w:rsidRPr="00C64725" w:rsidRDefault="0077206E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</w:t>
            </w:r>
            <w:r w:rsidR="00532811" w:rsidRPr="00C64725">
              <w:rPr>
                <w:sz w:val="16"/>
                <w:szCs w:val="16"/>
              </w:rPr>
              <w:t xml:space="preserve">Pg </w:t>
            </w:r>
            <w:r w:rsidR="00AF07CB" w:rsidRPr="00C64725">
              <w:rPr>
                <w:sz w:val="16"/>
                <w:szCs w:val="16"/>
              </w:rPr>
              <w:t>25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87B7" w14:textId="1B2AB80D" w:rsidR="00863150" w:rsidRPr="00C64725" w:rsidRDefault="00532811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C64725">
              <w:rPr>
                <w:sz w:val="16"/>
                <w:szCs w:val="16"/>
              </w:rPr>
              <w:t xml:space="preserve">Footnote 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3B5E" w14:textId="584623CB" w:rsidR="00863150" w:rsidRPr="00C64725" w:rsidRDefault="00045CF4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C64725">
              <w:rPr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4E5B" w14:textId="0C7095E9" w:rsidR="00863150" w:rsidRPr="009920BA" w:rsidRDefault="001B5A62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9920BA">
              <w:rPr>
                <w:sz w:val="16"/>
                <w:szCs w:val="16"/>
              </w:rPr>
              <w:t xml:space="preserve">Given </w:t>
            </w:r>
            <w:r w:rsidR="00862B92" w:rsidRPr="009920BA">
              <w:rPr>
                <w:sz w:val="16"/>
                <w:szCs w:val="16"/>
              </w:rPr>
              <w:t xml:space="preserve">that the literature suggests </w:t>
            </w:r>
            <w:r w:rsidR="00ED7834">
              <w:rPr>
                <w:sz w:val="16"/>
                <w:szCs w:val="16"/>
              </w:rPr>
              <w:t xml:space="preserve">a </w:t>
            </w:r>
            <w:r w:rsidR="00862B92" w:rsidRPr="009920BA">
              <w:rPr>
                <w:sz w:val="16"/>
                <w:szCs w:val="16"/>
              </w:rPr>
              <w:t>high stacking</w:t>
            </w:r>
            <w:r w:rsidR="004976B4">
              <w:rPr>
                <w:sz w:val="16"/>
                <w:szCs w:val="16"/>
              </w:rPr>
              <w:t xml:space="preserve"> rate</w:t>
            </w:r>
            <w:r w:rsidR="00F055B9" w:rsidRPr="009920BA">
              <w:rPr>
                <w:sz w:val="16"/>
                <w:szCs w:val="16"/>
              </w:rPr>
              <w:t xml:space="preserve">, what is the significance of not including this if it affects the fNRB. </w:t>
            </w:r>
            <w:r w:rsidR="00501D2C">
              <w:rPr>
                <w:sz w:val="16"/>
                <w:szCs w:val="16"/>
              </w:rPr>
              <w:t xml:space="preserve">Presumably the lack of inclusion of stacking will be reducing the projected demand for wood fuels, which will therefore lead to conservative fNRB. </w:t>
            </w:r>
            <w:r w:rsidR="00D710A3">
              <w:rPr>
                <w:sz w:val="16"/>
                <w:szCs w:val="16"/>
              </w:rPr>
              <w:t>Maybe</w:t>
            </w:r>
            <w:r w:rsidR="00B66872">
              <w:rPr>
                <w:sz w:val="16"/>
                <w:szCs w:val="16"/>
              </w:rPr>
              <w:t xml:space="preserve"> it is possible to </w:t>
            </w:r>
            <w:r w:rsidR="00D710A3">
              <w:rPr>
                <w:sz w:val="16"/>
                <w:szCs w:val="16"/>
              </w:rPr>
              <w:t xml:space="preserve">check </w:t>
            </w:r>
            <w:r w:rsidR="003D6D04" w:rsidRPr="009920BA">
              <w:rPr>
                <w:sz w:val="16"/>
                <w:szCs w:val="16"/>
              </w:rPr>
              <w:t>scenario</w:t>
            </w:r>
            <w:r w:rsidR="00D710A3">
              <w:rPr>
                <w:sz w:val="16"/>
                <w:szCs w:val="16"/>
              </w:rPr>
              <w:t>s</w:t>
            </w:r>
            <w:r w:rsidR="003D6D04" w:rsidRPr="009920BA">
              <w:rPr>
                <w:sz w:val="16"/>
                <w:szCs w:val="16"/>
              </w:rPr>
              <w:t xml:space="preserve"> </w:t>
            </w:r>
            <w:r w:rsidR="00D710A3">
              <w:rPr>
                <w:sz w:val="16"/>
                <w:szCs w:val="16"/>
              </w:rPr>
              <w:t>for</w:t>
            </w:r>
            <w:r w:rsidR="003D6D04" w:rsidRPr="009920BA">
              <w:rPr>
                <w:sz w:val="16"/>
                <w:szCs w:val="16"/>
              </w:rPr>
              <w:t xml:space="preserve"> countries where </w:t>
            </w:r>
            <w:r w:rsidR="00112B92" w:rsidRPr="009920BA">
              <w:rPr>
                <w:sz w:val="16"/>
                <w:szCs w:val="16"/>
              </w:rPr>
              <w:t>stove and fuel stacking data are available</w:t>
            </w:r>
            <w:r w:rsidR="00976CF8">
              <w:rPr>
                <w:sz w:val="16"/>
                <w:szCs w:val="16"/>
              </w:rPr>
              <w:t xml:space="preserve">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BE4A" w14:textId="3A39606A" w:rsidR="00501D2C" w:rsidRPr="00150408" w:rsidRDefault="00150408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150408">
              <w:rPr>
                <w:sz w:val="16"/>
                <w:szCs w:val="16"/>
              </w:rPr>
              <w:t xml:space="preserve">Model scenarios for countries with reliable stove and fuel stacking data and compare the differences. </w:t>
            </w:r>
            <w:r w:rsidR="00501D2C">
              <w:rPr>
                <w:sz w:val="16"/>
                <w:szCs w:val="16"/>
              </w:rPr>
              <w:t xml:space="preserve">If inclusion of stacking is shown to have significant effect, then the methodology adopted should allow project developers to </w:t>
            </w:r>
            <w:r w:rsidR="008D18EF">
              <w:rPr>
                <w:sz w:val="16"/>
                <w:szCs w:val="16"/>
              </w:rPr>
              <w:t xml:space="preserve">include evidence on stacking in their project areas, </w:t>
            </w:r>
            <w:r w:rsidR="008E343B">
              <w:rPr>
                <w:sz w:val="16"/>
                <w:szCs w:val="16"/>
              </w:rPr>
              <w:t xml:space="preserve">and then adjust the fNRB by an appropriate factor.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9716CA" w14:textId="77777777" w:rsidR="00863150" w:rsidRDefault="00863150" w:rsidP="00150408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63150" w14:paraId="20DC6649" w14:textId="77777777" w:rsidTr="001F2244">
        <w:trPr>
          <w:cantSplit/>
          <w:trHeight w:val="785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C234" w14:textId="6BEE8D89" w:rsidR="00863150" w:rsidRPr="00FC5A11" w:rsidRDefault="0031612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5E4" w14:textId="4073E165" w:rsidR="00863150" w:rsidRPr="00C64725" w:rsidRDefault="00C47A2C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</w:t>
            </w:r>
            <w:r w:rsidR="001F2244" w:rsidRPr="001F2244">
              <w:rPr>
                <w:sz w:val="16"/>
                <w:szCs w:val="16"/>
              </w:rPr>
              <w:t>Pg 26 &amp; 27</w:t>
            </w:r>
            <w:r w:rsidR="001F224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Table 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and Figure 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8CDE" w14:textId="7D9C7B8C" w:rsidR="00863150" w:rsidRPr="00C64725" w:rsidRDefault="00863150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ED9A" w14:textId="1D09F540" w:rsidR="00863150" w:rsidRPr="00C64725" w:rsidRDefault="00045CF4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C64725">
              <w:rPr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F554" w14:textId="7090495A" w:rsidR="00884308" w:rsidRPr="009920BA" w:rsidRDefault="0025403A" w:rsidP="008175D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9920BA">
              <w:rPr>
                <w:sz w:val="16"/>
                <w:szCs w:val="16"/>
              </w:rPr>
              <w:t xml:space="preserve">0.4 tonnes per capita per year </w:t>
            </w:r>
            <w:r w:rsidR="00B624A2" w:rsidRPr="009920BA">
              <w:rPr>
                <w:sz w:val="16"/>
                <w:szCs w:val="16"/>
              </w:rPr>
              <w:t>may not reflect the significant diversions in some countries</w:t>
            </w:r>
            <w:r w:rsidR="00655DC0">
              <w:rPr>
                <w:sz w:val="16"/>
                <w:szCs w:val="16"/>
              </w:rPr>
              <w:t>, also between rural and urban locations</w:t>
            </w:r>
            <w:r w:rsidR="0034280E">
              <w:rPr>
                <w:sz w:val="16"/>
                <w:szCs w:val="16"/>
              </w:rPr>
              <w:t xml:space="preserve">. </w:t>
            </w:r>
            <w:r w:rsidR="005D1B45">
              <w:rPr>
                <w:sz w:val="16"/>
                <w:szCs w:val="16"/>
              </w:rPr>
              <w:t xml:space="preserve">Analysis of data from cooking trials and studies in </w:t>
            </w:r>
            <w:r w:rsidR="00131225">
              <w:rPr>
                <w:sz w:val="16"/>
                <w:szCs w:val="16"/>
              </w:rPr>
              <w:t>MECS</w:t>
            </w:r>
            <w:r w:rsidR="005D1B45">
              <w:rPr>
                <w:sz w:val="16"/>
                <w:szCs w:val="16"/>
              </w:rPr>
              <w:t xml:space="preserve"> programme has shown </w:t>
            </w:r>
            <w:r w:rsidR="008175D0">
              <w:rPr>
                <w:sz w:val="16"/>
                <w:szCs w:val="16"/>
              </w:rPr>
              <w:t xml:space="preserve">that </w:t>
            </w:r>
            <w:r w:rsidR="008175D0" w:rsidRPr="008175D0">
              <w:rPr>
                <w:sz w:val="16"/>
                <w:szCs w:val="16"/>
              </w:rPr>
              <w:t xml:space="preserve">differences in diet </w:t>
            </w:r>
            <w:r w:rsidR="008175D0">
              <w:rPr>
                <w:sz w:val="16"/>
                <w:szCs w:val="16"/>
              </w:rPr>
              <w:t xml:space="preserve">lead to significant </w:t>
            </w:r>
            <w:r w:rsidR="008175D0" w:rsidRPr="008175D0">
              <w:rPr>
                <w:sz w:val="16"/>
                <w:szCs w:val="16"/>
              </w:rPr>
              <w:t>regional differences in energy consumption</w:t>
            </w:r>
            <w:r w:rsidR="00D932F8">
              <w:rPr>
                <w:sz w:val="16"/>
                <w:szCs w:val="16"/>
              </w:rPr>
              <w:t xml:space="preserve">: </w:t>
            </w:r>
            <w:r w:rsidR="006951CA">
              <w:rPr>
                <w:sz w:val="16"/>
                <w:szCs w:val="16"/>
              </w:rPr>
              <w:t>e.g.,</w:t>
            </w:r>
            <w:r w:rsidR="00D932F8">
              <w:rPr>
                <w:sz w:val="16"/>
                <w:szCs w:val="16"/>
              </w:rPr>
              <w:t xml:space="preserve"> SSA cooks use almost twice the amount of charcoal to cook the same </w:t>
            </w:r>
            <w:r w:rsidR="007567AE">
              <w:rPr>
                <w:sz w:val="16"/>
                <w:szCs w:val="16"/>
              </w:rPr>
              <w:t xml:space="preserve">dishes as cooks in </w:t>
            </w:r>
            <w:r w:rsidR="005B79A1">
              <w:rPr>
                <w:sz w:val="16"/>
                <w:szCs w:val="16"/>
              </w:rPr>
              <w:t xml:space="preserve">South </w:t>
            </w:r>
            <w:r w:rsidR="007567AE">
              <w:rPr>
                <w:sz w:val="16"/>
                <w:szCs w:val="16"/>
              </w:rPr>
              <w:t>Asia</w:t>
            </w:r>
            <w:r w:rsidR="005B79A1">
              <w:rPr>
                <w:sz w:val="16"/>
                <w:szCs w:val="16"/>
              </w:rPr>
              <w:t xml:space="preserve"> (consistent with the PDD data shown in </w:t>
            </w:r>
            <w:r w:rsidR="00D0526E">
              <w:rPr>
                <w:sz w:val="16"/>
                <w:szCs w:val="16"/>
              </w:rPr>
              <w:t>T</w:t>
            </w:r>
            <w:r w:rsidR="005B79A1">
              <w:rPr>
                <w:sz w:val="16"/>
                <w:szCs w:val="16"/>
              </w:rPr>
              <w:t xml:space="preserve">able </w:t>
            </w:r>
            <w:r w:rsidR="008E34EC">
              <w:rPr>
                <w:sz w:val="16"/>
                <w:szCs w:val="16"/>
              </w:rPr>
              <w:t>2</w:t>
            </w:r>
            <w:r w:rsidR="00943E74">
              <w:rPr>
                <w:sz w:val="16"/>
                <w:szCs w:val="16"/>
              </w:rPr>
              <w:t>, Pg 26</w:t>
            </w:r>
            <w:r w:rsidR="008E34EC">
              <w:rPr>
                <w:sz w:val="16"/>
                <w:szCs w:val="16"/>
              </w:rPr>
              <w:t>)</w:t>
            </w:r>
            <w:r w:rsidR="008175D0" w:rsidRPr="008175D0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1E45" w14:textId="731B1E15" w:rsidR="00A73911" w:rsidRDefault="008315A7" w:rsidP="00A73911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 scenarios</w:t>
            </w:r>
            <w:r w:rsidR="001D20CC">
              <w:rPr>
                <w:sz w:val="16"/>
                <w:szCs w:val="16"/>
              </w:rPr>
              <w:t xml:space="preserve"> </w:t>
            </w:r>
            <w:r w:rsidR="00B22FC1" w:rsidRPr="00B22FC1">
              <w:rPr>
                <w:sz w:val="16"/>
                <w:szCs w:val="16"/>
              </w:rPr>
              <w:t xml:space="preserve">to look at the effect of varying the consumption values, </w:t>
            </w:r>
            <w:r w:rsidR="009405D9" w:rsidRPr="00B22FC1">
              <w:rPr>
                <w:sz w:val="16"/>
                <w:szCs w:val="16"/>
              </w:rPr>
              <w:t>e.g.,</w:t>
            </w:r>
            <w:r w:rsidR="00B22FC1" w:rsidRPr="00B22FC1">
              <w:rPr>
                <w:sz w:val="16"/>
                <w:szCs w:val="16"/>
              </w:rPr>
              <w:t xml:space="preserve"> by rural/urban, and by region</w:t>
            </w:r>
            <w:r w:rsidR="00F17C1C">
              <w:rPr>
                <w:sz w:val="16"/>
                <w:szCs w:val="16"/>
              </w:rPr>
              <w:t>s</w:t>
            </w:r>
            <w:r w:rsidR="00B22FC1" w:rsidRPr="00B22FC1">
              <w:rPr>
                <w:sz w:val="16"/>
                <w:szCs w:val="16"/>
              </w:rPr>
              <w:t xml:space="preserve">, to see </w:t>
            </w:r>
            <w:r w:rsidR="004C440B">
              <w:rPr>
                <w:sz w:val="16"/>
                <w:szCs w:val="16"/>
              </w:rPr>
              <w:t>the effect</w:t>
            </w:r>
            <w:r w:rsidR="00B22FC1" w:rsidRPr="00B22FC1">
              <w:rPr>
                <w:sz w:val="16"/>
                <w:szCs w:val="16"/>
              </w:rPr>
              <w:t xml:space="preserve"> </w:t>
            </w:r>
            <w:r w:rsidR="004C440B">
              <w:rPr>
                <w:sz w:val="16"/>
                <w:szCs w:val="16"/>
              </w:rPr>
              <w:t>of the differentiation in</w:t>
            </w:r>
            <w:r w:rsidR="00B22FC1" w:rsidRPr="00B22FC1">
              <w:rPr>
                <w:sz w:val="16"/>
                <w:szCs w:val="16"/>
              </w:rPr>
              <w:t xml:space="preserve"> consumption values used to generate fNRB</w:t>
            </w:r>
            <w:r w:rsidR="00A73911">
              <w:rPr>
                <w:sz w:val="16"/>
                <w:szCs w:val="16"/>
              </w:rPr>
              <w:t>.</w:t>
            </w:r>
          </w:p>
          <w:p w14:paraId="703F5CD2" w14:textId="66D94CD4" w:rsidR="00B22FC1" w:rsidRPr="002D5D97" w:rsidRDefault="009F4199" w:rsidP="00BB141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9F4199">
              <w:rPr>
                <w:sz w:val="16"/>
                <w:szCs w:val="16"/>
              </w:rPr>
              <w:t xml:space="preserve">If </w:t>
            </w:r>
            <w:r>
              <w:rPr>
                <w:sz w:val="16"/>
                <w:szCs w:val="16"/>
              </w:rPr>
              <w:t>such differentiation</w:t>
            </w:r>
            <w:r w:rsidR="00EC1F6A">
              <w:rPr>
                <w:sz w:val="16"/>
                <w:szCs w:val="16"/>
              </w:rPr>
              <w:t xml:space="preserve"> in consumption values</w:t>
            </w:r>
            <w:r>
              <w:rPr>
                <w:sz w:val="16"/>
                <w:szCs w:val="16"/>
              </w:rPr>
              <w:t xml:space="preserve"> </w:t>
            </w:r>
            <w:r w:rsidRPr="009F4199">
              <w:rPr>
                <w:sz w:val="16"/>
                <w:szCs w:val="16"/>
              </w:rPr>
              <w:t xml:space="preserve">is shown to have significant effect, then the methodology adopted should allow project developers </w:t>
            </w:r>
            <w:r w:rsidR="00EC1F6A">
              <w:rPr>
                <w:sz w:val="16"/>
                <w:szCs w:val="16"/>
              </w:rPr>
              <w:t xml:space="preserve">use </w:t>
            </w:r>
            <w:r w:rsidR="00F91DC2">
              <w:rPr>
                <w:sz w:val="16"/>
                <w:szCs w:val="16"/>
              </w:rPr>
              <w:t>specific values</w:t>
            </w:r>
            <w:r w:rsidRPr="009F4199">
              <w:rPr>
                <w:sz w:val="16"/>
                <w:szCs w:val="16"/>
              </w:rPr>
              <w:t xml:space="preserve"> in their project areas, and then adjust the fNRB by an appropriate factor.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9D8E52A" w14:textId="77777777" w:rsidR="00863150" w:rsidRDefault="00863150" w:rsidP="00150408">
            <w:pPr>
              <w:keepLines/>
              <w:spacing w:before="40" w:after="40" w:line="190" w:lineRule="exact"/>
              <w:jc w:val="left"/>
              <w:rPr>
                <w:b/>
                <w:bCs/>
                <w:sz w:val="16"/>
                <w:szCs w:val="16"/>
              </w:rPr>
            </w:pPr>
          </w:p>
        </w:tc>
      </w:tr>
      <w:tr w:rsidR="0081102C" w:rsidRPr="00BE0D93" w14:paraId="4081D14A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21D2" w14:textId="57C28FAB" w:rsidR="0081102C" w:rsidRDefault="0031612D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399F" w14:textId="2A05268B" w:rsidR="0081102C" w:rsidRPr="00BE0D93" w:rsidRDefault="008B720E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</w:t>
            </w:r>
            <w:r w:rsidRPr="001F2244">
              <w:rPr>
                <w:sz w:val="16"/>
                <w:szCs w:val="16"/>
              </w:rPr>
              <w:t>Pg</w:t>
            </w:r>
            <w:r w:rsidR="00EE130F">
              <w:rPr>
                <w:sz w:val="16"/>
                <w:szCs w:val="16"/>
              </w:rPr>
              <w:t xml:space="preserve"> </w:t>
            </w:r>
            <w:r w:rsidR="00396C27">
              <w:rPr>
                <w:sz w:val="16"/>
                <w:szCs w:val="16"/>
              </w:rPr>
              <w:t>29 and 30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7BC6" w14:textId="4D5866A7" w:rsidR="0081102C" w:rsidRDefault="0086107E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643ED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543C" w14:textId="73DFCD48" w:rsidR="0081102C" w:rsidRPr="00BE0D93" w:rsidRDefault="007F2B57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84EC" w14:textId="17D07920" w:rsidR="0081102C" w:rsidRDefault="007F2B57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the urban/rural classification has a substantive effect on the final fNRB values,</w:t>
            </w:r>
            <w:r w:rsidR="00103DCB">
              <w:rPr>
                <w:sz w:val="16"/>
                <w:szCs w:val="16"/>
              </w:rPr>
              <w:t xml:space="preserve"> then</w:t>
            </w:r>
            <w:r>
              <w:rPr>
                <w:sz w:val="16"/>
                <w:szCs w:val="16"/>
              </w:rPr>
              <w:t xml:space="preserve"> </w:t>
            </w:r>
            <w:r w:rsidR="00AD0CC6">
              <w:rPr>
                <w:sz w:val="16"/>
                <w:szCs w:val="16"/>
              </w:rPr>
              <w:t xml:space="preserve">it is important that the </w:t>
            </w:r>
            <w:r w:rsidR="005A127C">
              <w:rPr>
                <w:sz w:val="16"/>
                <w:szCs w:val="16"/>
              </w:rPr>
              <w:t>modelling</w:t>
            </w:r>
            <w:r w:rsidR="00AD0CC6">
              <w:rPr>
                <w:sz w:val="16"/>
                <w:szCs w:val="16"/>
              </w:rPr>
              <w:t xml:space="preserve"> captures the </w:t>
            </w:r>
            <w:r w:rsidR="00103DCB">
              <w:rPr>
                <w:sz w:val="16"/>
                <w:szCs w:val="16"/>
              </w:rPr>
              <w:t xml:space="preserve">effect of </w:t>
            </w:r>
            <w:r w:rsidR="00AD0CC6">
              <w:rPr>
                <w:sz w:val="16"/>
                <w:szCs w:val="16"/>
              </w:rPr>
              <w:t xml:space="preserve">urbanisation expected over the </w:t>
            </w:r>
            <w:r w:rsidR="00515708">
              <w:rPr>
                <w:sz w:val="16"/>
                <w:szCs w:val="16"/>
              </w:rPr>
              <w:t>modelling period</w:t>
            </w:r>
            <w:r w:rsidR="005A127C">
              <w:rPr>
                <w:sz w:val="16"/>
                <w:szCs w:val="16"/>
              </w:rPr>
              <w:t>. Note 5 implies this is not done.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26C7" w14:textId="441841BB" w:rsidR="000B0569" w:rsidRPr="00BE0D93" w:rsidRDefault="00515708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modelling already estimates the population growth per pixel, so can the allocation as rural or urban be updated, </w:t>
            </w:r>
            <w:r w:rsidR="006B614A">
              <w:rPr>
                <w:sz w:val="16"/>
                <w:szCs w:val="16"/>
              </w:rPr>
              <w:t>e.g.,</w:t>
            </w:r>
            <w:r>
              <w:rPr>
                <w:sz w:val="16"/>
                <w:szCs w:val="16"/>
              </w:rPr>
              <w:t xml:space="preserve"> if a pixel area passes the population density threshold to be classified as urban?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58D805A" w14:textId="77777777" w:rsidR="0081102C" w:rsidRPr="00BE0D93" w:rsidRDefault="0081102C" w:rsidP="0015040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743300" w:rsidRPr="00BE0D93" w14:paraId="0E02DDEE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BDA6" w14:textId="34566FC5" w:rsidR="00743300" w:rsidRPr="00BE0D93" w:rsidRDefault="0031612D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4F4B" w14:textId="5821B32D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 xml:space="preserve">Appendix 2, </w:t>
            </w:r>
            <w:r>
              <w:rPr>
                <w:sz w:val="16"/>
                <w:szCs w:val="16"/>
              </w:rPr>
              <w:t xml:space="preserve">Pg 35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9662" w14:textId="1FE3A3FC" w:rsidR="00743300" w:rsidRPr="00BE0D93" w:rsidRDefault="0086107E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643ED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Para after </w:t>
            </w:r>
            <w:r w:rsidRPr="00BE0D93">
              <w:rPr>
                <w:sz w:val="16"/>
                <w:szCs w:val="16"/>
              </w:rPr>
              <w:t>Eq.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18E6" w14:textId="7FAA9F34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0D97" w14:textId="1C49E24A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use of “in” in “k in an …” is a typo.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21F" w14:textId="28CC6D3E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Replace “in” with “is”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673A80D" w14:textId="77777777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743300" w:rsidRPr="00BE0D93" w14:paraId="5C9827B7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B9D2" w14:textId="327D7291" w:rsidR="00743300" w:rsidRPr="00BE0D93" w:rsidRDefault="0031612D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7645" w14:textId="646E4C5F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Pg 35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0BC2" w14:textId="11D7D766" w:rsidR="00743300" w:rsidRPr="00BE0D93" w:rsidRDefault="00D3342E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</w:t>
            </w:r>
            <w:r w:rsidRPr="00D643ED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Para after Eq.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F162" w14:textId="658CB411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299F" w14:textId="1B7A7662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the definition of C as wood fuel consumption, in the sentence “</w:t>
            </w:r>
            <w:r w:rsidRPr="00451B60">
              <w:rPr>
                <w:sz w:val="16"/>
                <w:szCs w:val="16"/>
              </w:rPr>
              <w:t>deforestation events driven by factors agricultural expansion or other factors</w:t>
            </w:r>
            <w:r>
              <w:rPr>
                <w:sz w:val="16"/>
                <w:szCs w:val="16"/>
              </w:rPr>
              <w:t xml:space="preserve">”.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9D9E" w14:textId="576F4C30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Replace with </w:t>
            </w:r>
            <w:r w:rsidRPr="00451B60">
              <w:rPr>
                <w:sz w:val="16"/>
                <w:szCs w:val="16"/>
              </w:rPr>
              <w:t xml:space="preserve">“deforestation events driven by agricultural expansion or other </w:t>
            </w:r>
            <w:r>
              <w:rPr>
                <w:sz w:val="16"/>
                <w:szCs w:val="16"/>
              </w:rPr>
              <w:t xml:space="preserve">similar </w:t>
            </w:r>
            <w:r w:rsidRPr="00451B60">
              <w:rPr>
                <w:sz w:val="16"/>
                <w:szCs w:val="16"/>
              </w:rPr>
              <w:t>factors”.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6B7C9B" w14:textId="77777777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743300" w:rsidRPr="00BE0D93" w14:paraId="68B3B5E7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766A" w14:textId="625F1D22" w:rsidR="00743300" w:rsidRPr="00BE0D93" w:rsidRDefault="0031612D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9FAB" w14:textId="1D5792A7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 xml:space="preserve">Appendix 2, </w:t>
            </w:r>
            <w:r>
              <w:rPr>
                <w:sz w:val="16"/>
                <w:szCs w:val="16"/>
              </w:rPr>
              <w:t xml:space="preserve">Pg </w:t>
            </w:r>
            <w:r w:rsidRPr="00BE0D93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30D3" w14:textId="3435BFD7" w:rsidR="00743300" w:rsidRPr="00BE0D93" w:rsidRDefault="00340B9F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  <w:r w:rsidRPr="00D643ED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Para of “Results”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CFFE" w14:textId="64878691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 w:rsidRPr="00BE0D93">
              <w:rPr>
                <w:sz w:val="16"/>
                <w:szCs w:val="16"/>
              </w:rPr>
              <w:t>te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05BC" w14:textId="663AE074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  <w:r w:rsidRPr="00BE0D93">
              <w:rPr>
                <w:sz w:val="16"/>
                <w:szCs w:val="16"/>
              </w:rPr>
              <w:t>he MoFuSS we</w:t>
            </w:r>
            <w:r>
              <w:rPr>
                <w:sz w:val="16"/>
                <w:szCs w:val="16"/>
              </w:rPr>
              <w:t>b-platform</w:t>
            </w:r>
            <w:r w:rsidRPr="00BE0D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says its “under construction”. This is a bit confusing – and also checked that not all the features are accessible e.g., IDW and WCT.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DB8E" w14:textId="618F73CC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Remove the “under construction” and include accessibility to all the features.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85C3C2" w14:textId="77777777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743300" w:rsidRPr="00BE0D93" w14:paraId="7E97068E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8D55" w14:textId="5F1BE6AC" w:rsidR="00743300" w:rsidRPr="00BE0D93" w:rsidRDefault="0031612D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CA8D" w14:textId="14B38B06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Appendix 2</w:t>
            </w:r>
            <w:r>
              <w:rPr>
                <w:sz w:val="16"/>
                <w:szCs w:val="16"/>
              </w:rPr>
              <w:t xml:space="preserve">, Pg </w:t>
            </w:r>
            <w:r w:rsidRPr="00BE0D93">
              <w:rPr>
                <w:sz w:val="16"/>
                <w:szCs w:val="16"/>
              </w:rPr>
              <w:t>39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4071" w14:textId="796BFF4B" w:rsidR="00743300" w:rsidRPr="00BE0D93" w:rsidRDefault="00340B9F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</w:t>
            </w:r>
            <w:r w:rsidRPr="00D643ED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Para</w:t>
            </w:r>
            <w:r w:rsidR="00743300" w:rsidRPr="00BE0D93">
              <w:rPr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1E3" w14:textId="4775FBE4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6C34" w14:textId="2DE295FD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“for” is missing in the sentence “</w:t>
            </w:r>
            <w:r w:rsidRPr="00BE0D93">
              <w:rPr>
                <w:sz w:val="16"/>
                <w:szCs w:val="16"/>
              </w:rPr>
              <w:t>Table 3 shows a summary of national wood</w:t>
            </w:r>
            <w:r>
              <w:rPr>
                <w:sz w:val="16"/>
                <w:szCs w:val="16"/>
              </w:rPr>
              <w:t xml:space="preserve"> </w:t>
            </w:r>
            <w:r w:rsidRPr="00BE0D93">
              <w:rPr>
                <w:sz w:val="16"/>
                <w:szCs w:val="16"/>
              </w:rPr>
              <w:t xml:space="preserve">fuel sustainability variables </w:t>
            </w:r>
            <w:proofErr w:type="gramStart"/>
            <w:r w:rsidRPr="00BE0D93">
              <w:rPr>
                <w:sz w:val="16"/>
                <w:szCs w:val="16"/>
              </w:rPr>
              <w:t>SSA</w:t>
            </w:r>
            <w:r>
              <w:rPr>
                <w:sz w:val="16"/>
                <w:szCs w:val="16"/>
              </w:rPr>
              <w:t>,“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DF74" w14:textId="38605228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Include for such as “</w:t>
            </w:r>
            <w:r w:rsidRPr="00BE0D93">
              <w:rPr>
                <w:sz w:val="16"/>
                <w:szCs w:val="16"/>
              </w:rPr>
              <w:t>Table 3 shows a summary of national wood</w:t>
            </w:r>
            <w:r>
              <w:rPr>
                <w:sz w:val="16"/>
                <w:szCs w:val="16"/>
              </w:rPr>
              <w:t xml:space="preserve"> </w:t>
            </w:r>
            <w:r w:rsidRPr="00BE0D93">
              <w:rPr>
                <w:sz w:val="16"/>
                <w:szCs w:val="16"/>
              </w:rPr>
              <w:t xml:space="preserve">fuel sustainability variables </w:t>
            </w:r>
            <w:r w:rsidRPr="009B021C">
              <w:rPr>
                <w:b/>
                <w:bCs/>
                <w:i/>
                <w:iCs/>
                <w:sz w:val="16"/>
                <w:szCs w:val="16"/>
              </w:rPr>
              <w:t>for</w:t>
            </w:r>
            <w:r w:rsidRPr="00BE0D93">
              <w:rPr>
                <w:sz w:val="16"/>
                <w:szCs w:val="16"/>
              </w:rPr>
              <w:t xml:space="preserve"> SSA</w:t>
            </w:r>
            <w:r w:rsidR="0058498D">
              <w:rPr>
                <w:sz w:val="16"/>
                <w:szCs w:val="16"/>
              </w:rPr>
              <w:t>.”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31959CF" w14:textId="77777777" w:rsidR="00743300" w:rsidRPr="00BE0D93" w:rsidRDefault="00743300" w:rsidP="00743300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243E2B" w:rsidRPr="00BE0D93" w14:paraId="3F11D702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2CB8" w14:textId="3F2DCEFE" w:rsidR="00243E2B" w:rsidRDefault="0031612D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67CB1" w14:textId="5B6AABBB" w:rsidR="00243E2B" w:rsidRPr="00BE0D93" w:rsidRDefault="00243E2B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</w:t>
            </w:r>
            <w:r w:rsidRPr="001F2244">
              <w:rPr>
                <w:sz w:val="16"/>
                <w:szCs w:val="16"/>
              </w:rPr>
              <w:t xml:space="preserve">Pg </w:t>
            </w:r>
            <w:r w:rsidR="002A3569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,</w:t>
            </w:r>
            <w:r w:rsidR="002A3569">
              <w:rPr>
                <w:sz w:val="16"/>
                <w:szCs w:val="16"/>
              </w:rPr>
              <w:t xml:space="preserve"> Table 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50B8" w14:textId="77777777" w:rsidR="00243E2B" w:rsidRDefault="00243E2B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6215" w14:textId="7CA8B1F1" w:rsidR="00243E2B" w:rsidRPr="00BE0D93" w:rsidRDefault="002A3569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A52A" w14:textId="3C447D28" w:rsidR="00243E2B" w:rsidRDefault="002A3569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fNRB results are given for different time periods.</w:t>
            </w:r>
            <w:r w:rsidR="00E436FC">
              <w:rPr>
                <w:sz w:val="16"/>
                <w:szCs w:val="16"/>
              </w:rPr>
              <w:t xml:space="preserve"> This is potentially confusing, and more guidance is needed to their meaning</w:t>
            </w:r>
            <w:r w:rsidR="008F009A">
              <w:rPr>
                <w:sz w:val="16"/>
                <w:szCs w:val="16"/>
              </w:rPr>
              <w:t>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E519" w14:textId="51B0646B" w:rsidR="00243E2B" w:rsidRPr="00BE0D93" w:rsidRDefault="00E436FC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Suggest adding to the text explanation of results to give examples of appropriate use of the different time periods of fNRB results, </w:t>
            </w:r>
            <w:r w:rsidR="003A4CC3">
              <w:rPr>
                <w:sz w:val="16"/>
                <w:szCs w:val="16"/>
              </w:rPr>
              <w:t>e.g.,</w:t>
            </w:r>
            <w:r>
              <w:rPr>
                <w:sz w:val="16"/>
                <w:szCs w:val="16"/>
              </w:rPr>
              <w:t xml:space="preserve"> as they r</w:t>
            </w:r>
            <w:r w:rsidR="003A4CC3">
              <w:rPr>
                <w:sz w:val="16"/>
                <w:szCs w:val="16"/>
              </w:rPr>
              <w:t>elate</w:t>
            </w:r>
            <w:r>
              <w:rPr>
                <w:sz w:val="16"/>
                <w:szCs w:val="16"/>
              </w:rPr>
              <w:t xml:space="preserve"> to a carbon credit project that starts at x date and runs for y years</w:t>
            </w:r>
            <w:r w:rsidR="006C7E8D">
              <w:rPr>
                <w:sz w:val="16"/>
                <w:szCs w:val="16"/>
              </w:rPr>
              <w:t>.</w:t>
            </w:r>
            <w:r w:rsidR="00E12142">
              <w:rPr>
                <w:sz w:val="16"/>
                <w:szCs w:val="16"/>
              </w:rPr>
              <w:t xml:space="preserve"> </w:t>
            </w:r>
            <w:r w:rsidR="006C7E8D">
              <w:rPr>
                <w:sz w:val="16"/>
                <w:szCs w:val="16"/>
              </w:rPr>
              <w:t>Another</w:t>
            </w:r>
            <w:r w:rsidR="002A01A2">
              <w:rPr>
                <w:sz w:val="16"/>
                <w:szCs w:val="16"/>
              </w:rPr>
              <w:t xml:space="preserve"> consideration </w:t>
            </w:r>
            <w:r w:rsidR="00B446BB">
              <w:rPr>
                <w:sz w:val="16"/>
                <w:szCs w:val="16"/>
              </w:rPr>
              <w:t xml:space="preserve">could be </w:t>
            </w:r>
            <w:r w:rsidR="00226219">
              <w:rPr>
                <w:sz w:val="16"/>
                <w:szCs w:val="16"/>
              </w:rPr>
              <w:t>to relate with</w:t>
            </w:r>
            <w:r w:rsidR="008C5403">
              <w:rPr>
                <w:sz w:val="16"/>
                <w:szCs w:val="16"/>
              </w:rPr>
              <w:t xml:space="preserve"> </w:t>
            </w:r>
            <w:r w:rsidR="00B446BB">
              <w:rPr>
                <w:sz w:val="16"/>
                <w:szCs w:val="16"/>
              </w:rPr>
              <w:t xml:space="preserve">the NDC updates – </w:t>
            </w:r>
            <w:r w:rsidR="008C5403">
              <w:rPr>
                <w:sz w:val="16"/>
                <w:szCs w:val="16"/>
              </w:rPr>
              <w:t xml:space="preserve">every five years.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B07A356" w14:textId="77777777" w:rsidR="00243E2B" w:rsidRPr="00BE0D93" w:rsidRDefault="00243E2B" w:rsidP="00243E2B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4B7373" w:rsidRPr="00BE0D93" w14:paraId="5EF36044" w14:textId="77777777" w:rsidTr="006E7DBD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39F1" w14:textId="77777777" w:rsidR="004B737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CC75" w14:textId="091A7798" w:rsidR="004B7373" w:rsidRPr="00BE0D9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</w:t>
            </w:r>
            <w:r w:rsidRPr="001F2244">
              <w:rPr>
                <w:sz w:val="16"/>
                <w:szCs w:val="16"/>
              </w:rPr>
              <w:t xml:space="preserve">Pg 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92A6" w14:textId="77777777" w:rsidR="004B737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D66053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para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C498" w14:textId="77777777" w:rsidR="004B7373" w:rsidRPr="00BE0D9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D057" w14:textId="77777777" w:rsidR="004B737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text says the method used leads to lower fNRB than TOOL30. It would be helpful to briefly explain the difference.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5A44" w14:textId="77777777" w:rsidR="004B7373" w:rsidRPr="00BE0D9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 brief explanation of how the method differs from that in TOOL30, resulting in lower fNRB values.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B1D98A" w14:textId="77777777" w:rsidR="004B7373" w:rsidRPr="00BE0D93" w:rsidRDefault="004B7373" w:rsidP="006E7DBD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955E18" w:rsidRPr="00BE0D93" w14:paraId="0F7591ED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9EC9" w14:textId="6854054C" w:rsidR="00955E18" w:rsidRDefault="0031612D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6E5F" w14:textId="61D37ACA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Appendix 2, </w:t>
            </w:r>
            <w:r w:rsidRPr="001F2244">
              <w:rPr>
                <w:sz w:val="16"/>
                <w:szCs w:val="16"/>
              </w:rPr>
              <w:t xml:space="preserve">Pg </w:t>
            </w:r>
            <w:r w:rsidR="00C00026">
              <w:rPr>
                <w:sz w:val="16"/>
                <w:szCs w:val="16"/>
              </w:rPr>
              <w:t>49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F4F8" w14:textId="34166B1F" w:rsidR="00955E18" w:rsidRDefault="00C46AE6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643ED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Para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ED2B7" w14:textId="086E6064" w:rsidR="00955E18" w:rsidRPr="00BE0D93" w:rsidRDefault="00C00026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ge</w:t>
            </w:r>
            <w:proofErr w:type="spellEnd"/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A3CE" w14:textId="34E441F8" w:rsidR="00955E18" w:rsidRDefault="00C00026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Incl</w:t>
            </w:r>
            <w:r w:rsidR="002B481D">
              <w:rPr>
                <w:sz w:val="16"/>
                <w:szCs w:val="16"/>
              </w:rPr>
              <w:t>usion</w:t>
            </w:r>
            <w:r>
              <w:rPr>
                <w:sz w:val="16"/>
                <w:szCs w:val="16"/>
              </w:rPr>
              <w:t xml:space="preserve"> of this section on proposed changes to TOOL30 is confusing: </w:t>
            </w:r>
            <w:r w:rsidR="00AC3E09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 the purpose of the new work with</w:t>
            </w:r>
            <w:r w:rsidR="00AC3E09">
              <w:rPr>
                <w:sz w:val="16"/>
                <w:szCs w:val="16"/>
              </w:rPr>
              <w:t xml:space="preserve"> </w:t>
            </w:r>
            <w:r w:rsidR="00D94021">
              <w:rPr>
                <w:sz w:val="16"/>
                <w:szCs w:val="16"/>
              </w:rPr>
              <w:t xml:space="preserve">MoFuSS not intended as a replacement for TOOL30?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C9D6" w14:textId="7F71533A" w:rsidR="00955E18" w:rsidRPr="00BE0D93" w:rsidRDefault="00D94021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Clarify the purpose of this section on TOOL30 (</w:t>
            </w:r>
            <w:r w:rsidR="00AC3E09">
              <w:rPr>
                <w:sz w:val="16"/>
                <w:szCs w:val="16"/>
              </w:rPr>
              <w:t>e.g.,</w:t>
            </w:r>
            <w:r>
              <w:rPr>
                <w:sz w:val="16"/>
                <w:szCs w:val="16"/>
              </w:rPr>
              <w:t xml:space="preserve"> </w:t>
            </w:r>
            <w:r w:rsidR="003D227D">
              <w:rPr>
                <w:sz w:val="16"/>
                <w:szCs w:val="16"/>
              </w:rPr>
              <w:t>perhaps it is that if the MoFuSS work is not adopted, the</w:t>
            </w:r>
            <w:r w:rsidR="00E56D50">
              <w:rPr>
                <w:sz w:val="16"/>
                <w:szCs w:val="16"/>
              </w:rPr>
              <w:t>s</w:t>
            </w:r>
            <w:r w:rsidR="003D227D">
              <w:rPr>
                <w:sz w:val="16"/>
                <w:szCs w:val="16"/>
              </w:rPr>
              <w:t>e are changes recommended to TOOL30 ?)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C9F2D4" w14:textId="77777777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955E18" w:rsidRPr="00BE0D93" w14:paraId="3B9D658A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63D0" w14:textId="710B0F4D" w:rsidR="00955E18" w:rsidRPr="00BE0D93" w:rsidRDefault="0031612D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CE18" w14:textId="3019A8B0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Appendix 2</w:t>
            </w:r>
            <w:r>
              <w:rPr>
                <w:sz w:val="16"/>
                <w:szCs w:val="16"/>
              </w:rPr>
              <w:t>, P</w:t>
            </w:r>
            <w:r w:rsidR="001B1364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 xml:space="preserve"> 50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5D03" w14:textId="565574C0" w:rsidR="00955E18" w:rsidRPr="00BE0D93" w:rsidRDefault="00A533A7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643ED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Para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3B51" w14:textId="5D623A3A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7CC0" w14:textId="463EF250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the last para, </w:t>
            </w:r>
            <w:r w:rsidRPr="00BE0D93">
              <w:rPr>
                <w:sz w:val="16"/>
                <w:szCs w:val="16"/>
              </w:rPr>
              <w:t xml:space="preserve">“sued” </w:t>
            </w:r>
            <w:r>
              <w:rPr>
                <w:sz w:val="16"/>
                <w:szCs w:val="16"/>
              </w:rPr>
              <w:t xml:space="preserve">is a typo.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EC" w14:textId="24E50840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Replace with “used”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DEEC236" w14:textId="77777777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  <w:tr w:rsidR="00955E18" w:rsidRPr="00BE0D93" w14:paraId="40B8270E" w14:textId="77777777" w:rsidTr="00484F90">
        <w:trPr>
          <w:cantSplit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D2365" w14:textId="70F95BB4" w:rsidR="00955E18" w:rsidRPr="00BE0D93" w:rsidRDefault="0031612D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9F60" w14:textId="1EE93C0E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 w:rsidRPr="00BE0D93">
              <w:rPr>
                <w:sz w:val="16"/>
                <w:szCs w:val="16"/>
              </w:rPr>
              <w:t>Appendix 2</w:t>
            </w:r>
            <w:r>
              <w:rPr>
                <w:sz w:val="16"/>
                <w:szCs w:val="16"/>
              </w:rPr>
              <w:t xml:space="preserve">, Pg 58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FCDF" w14:textId="2940018D" w:rsidR="00955E18" w:rsidRPr="00BE0D93" w:rsidRDefault="00A62ECD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D643ED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Para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A611" w14:textId="64F1A6AD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</w:t>
            </w:r>
          </w:p>
        </w:tc>
        <w:tc>
          <w:tcPr>
            <w:tcW w:w="4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6B7" w14:textId="1934C3F2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“There is there is” is repeated – in the para preceding Table 5.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4A77" w14:textId="396CA9B8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Remove “there is”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FACBC15" w14:textId="77777777" w:rsidR="00955E18" w:rsidRPr="00BE0D93" w:rsidRDefault="00955E18" w:rsidP="00955E18">
            <w:pPr>
              <w:keepLines/>
              <w:spacing w:before="40" w:after="40" w:line="190" w:lineRule="exact"/>
              <w:jc w:val="left"/>
              <w:rPr>
                <w:sz w:val="16"/>
                <w:szCs w:val="16"/>
              </w:rPr>
            </w:pPr>
          </w:p>
        </w:tc>
      </w:tr>
    </w:tbl>
    <w:p w14:paraId="43299DA5" w14:textId="77777777" w:rsidR="0058498D" w:rsidRDefault="0058498D" w:rsidP="00BE0D93">
      <w:pPr>
        <w:spacing w:line="240" w:lineRule="exact"/>
        <w:jc w:val="left"/>
        <w:rPr>
          <w:b/>
          <w:bCs/>
        </w:rPr>
      </w:pPr>
    </w:p>
    <w:p w14:paraId="43B9CBF5" w14:textId="77777777" w:rsidR="00035F7D" w:rsidRDefault="00035F7D" w:rsidP="00BE0D93">
      <w:pPr>
        <w:spacing w:line="240" w:lineRule="exact"/>
        <w:jc w:val="left"/>
        <w:rPr>
          <w:b/>
          <w:bCs/>
        </w:rPr>
      </w:pPr>
    </w:p>
    <w:p w14:paraId="19DE0939" w14:textId="77777777" w:rsidR="00035F7D" w:rsidRDefault="00035F7D" w:rsidP="00035F7D">
      <w:pPr>
        <w:spacing w:line="240" w:lineRule="exact"/>
        <w:jc w:val="left"/>
      </w:pPr>
      <w:r w:rsidRPr="008365B9">
        <w:rPr>
          <w:b/>
          <w:bCs/>
        </w:rPr>
        <w:t>Note</w:t>
      </w:r>
      <w:r>
        <w:t xml:space="preserve">: </w:t>
      </w:r>
    </w:p>
    <w:p w14:paraId="7614A187" w14:textId="77777777" w:rsidR="00035F7D" w:rsidRDefault="00035F7D" w:rsidP="00035F7D">
      <w:pPr>
        <w:spacing w:line="240" w:lineRule="exact"/>
        <w:jc w:val="left"/>
      </w:pPr>
    </w:p>
    <w:p w14:paraId="10859F5F" w14:textId="318433B3" w:rsidR="00035F7D" w:rsidRPr="00BE0D93" w:rsidRDefault="00035F7D" w:rsidP="00035F7D">
      <w:pPr>
        <w:spacing w:line="240" w:lineRule="exact"/>
        <w:jc w:val="left"/>
      </w:pPr>
      <w:r>
        <w:t xml:space="preserve">Since the uploaded document didn’t contain line numbers as required by Column 2, used other means in </w:t>
      </w:r>
      <w:r w:rsidR="00C85A81">
        <w:t>C</w:t>
      </w:r>
      <w:r>
        <w:t xml:space="preserve">olumn 2. </w:t>
      </w:r>
    </w:p>
    <w:p w14:paraId="258FD4A8" w14:textId="77777777" w:rsidR="00035F7D" w:rsidRDefault="00035F7D" w:rsidP="00BE0D93">
      <w:pPr>
        <w:spacing w:line="240" w:lineRule="exact"/>
        <w:jc w:val="left"/>
        <w:rPr>
          <w:b/>
          <w:bCs/>
        </w:rPr>
      </w:pPr>
    </w:p>
    <w:p w14:paraId="0F3052D2" w14:textId="77777777" w:rsidR="004B7B61" w:rsidRPr="004B7B61" w:rsidRDefault="004B7B61" w:rsidP="004B7B61"/>
    <w:p w14:paraId="51BE7E9B" w14:textId="77777777" w:rsidR="004B7B61" w:rsidRPr="004B7B61" w:rsidRDefault="004B7B61" w:rsidP="004B7B61"/>
    <w:p w14:paraId="25A2D6A4" w14:textId="77777777" w:rsidR="004B7B61" w:rsidRPr="004B7B61" w:rsidRDefault="004B7B61" w:rsidP="004B7B61"/>
    <w:sectPr w:rsidR="004B7B61" w:rsidRPr="004B7B61">
      <w:headerReference w:type="default" r:id="rId14"/>
      <w:footerReference w:type="even" r:id="rId15"/>
      <w:footerReference w:type="default" r:id="rId16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B75B" w14:textId="77777777" w:rsidR="00BF5395" w:rsidRDefault="00BF5395" w:rsidP="00DF4F6B">
      <w:r>
        <w:separator/>
      </w:r>
    </w:p>
  </w:endnote>
  <w:endnote w:type="continuationSeparator" w:id="0">
    <w:p w14:paraId="1672C722" w14:textId="77777777" w:rsidR="00BF5395" w:rsidRDefault="00BF5395" w:rsidP="00DF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7D82C" w14:textId="77777777" w:rsidR="00BF5395" w:rsidRDefault="00BF5395" w:rsidP="00DF4F6B">
      <w:r>
        <w:separator/>
      </w:r>
    </w:p>
  </w:footnote>
  <w:footnote w:type="continuationSeparator" w:id="0">
    <w:p w14:paraId="156873A5" w14:textId="77777777" w:rsidR="00BF5395" w:rsidRDefault="00BF5395" w:rsidP="00DF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77777777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77777777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01229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0238A"/>
    <w:rsid w:val="00005739"/>
    <w:rsid w:val="00012159"/>
    <w:rsid w:val="000214C8"/>
    <w:rsid w:val="00021536"/>
    <w:rsid w:val="00024DA3"/>
    <w:rsid w:val="000352D6"/>
    <w:rsid w:val="00035F7D"/>
    <w:rsid w:val="000404B6"/>
    <w:rsid w:val="00040977"/>
    <w:rsid w:val="00044598"/>
    <w:rsid w:val="00044788"/>
    <w:rsid w:val="00045CF4"/>
    <w:rsid w:val="0005561A"/>
    <w:rsid w:val="00057FB7"/>
    <w:rsid w:val="00067F5E"/>
    <w:rsid w:val="000A1282"/>
    <w:rsid w:val="000A2B2E"/>
    <w:rsid w:val="000B0569"/>
    <w:rsid w:val="000B15A3"/>
    <w:rsid w:val="000B712A"/>
    <w:rsid w:val="000D20D3"/>
    <w:rsid w:val="000D5FD6"/>
    <w:rsid w:val="00103DCB"/>
    <w:rsid w:val="00110654"/>
    <w:rsid w:val="00112B92"/>
    <w:rsid w:val="00117A2A"/>
    <w:rsid w:val="00121BAD"/>
    <w:rsid w:val="00131225"/>
    <w:rsid w:val="00131BBE"/>
    <w:rsid w:val="00132899"/>
    <w:rsid w:val="0013299B"/>
    <w:rsid w:val="00132F4F"/>
    <w:rsid w:val="00134E60"/>
    <w:rsid w:val="00150408"/>
    <w:rsid w:val="001509DB"/>
    <w:rsid w:val="00153B61"/>
    <w:rsid w:val="00155B77"/>
    <w:rsid w:val="001721B5"/>
    <w:rsid w:val="00196015"/>
    <w:rsid w:val="001B1364"/>
    <w:rsid w:val="001B2022"/>
    <w:rsid w:val="001B31A6"/>
    <w:rsid w:val="001B5A62"/>
    <w:rsid w:val="001B6E7B"/>
    <w:rsid w:val="001C3348"/>
    <w:rsid w:val="001D0F91"/>
    <w:rsid w:val="001D20CC"/>
    <w:rsid w:val="001E04AE"/>
    <w:rsid w:val="001E36EF"/>
    <w:rsid w:val="001E3876"/>
    <w:rsid w:val="001F2244"/>
    <w:rsid w:val="001F4266"/>
    <w:rsid w:val="001F7611"/>
    <w:rsid w:val="00201690"/>
    <w:rsid w:val="002053B5"/>
    <w:rsid w:val="002162A2"/>
    <w:rsid w:val="00221645"/>
    <w:rsid w:val="00226219"/>
    <w:rsid w:val="002270D2"/>
    <w:rsid w:val="0023172D"/>
    <w:rsid w:val="00243E2B"/>
    <w:rsid w:val="00253F94"/>
    <w:rsid w:val="0025403A"/>
    <w:rsid w:val="00257AEA"/>
    <w:rsid w:val="00262DB6"/>
    <w:rsid w:val="0026738E"/>
    <w:rsid w:val="00271C70"/>
    <w:rsid w:val="0027391C"/>
    <w:rsid w:val="00273CAD"/>
    <w:rsid w:val="0028475E"/>
    <w:rsid w:val="0029172E"/>
    <w:rsid w:val="002A01A2"/>
    <w:rsid w:val="002A073D"/>
    <w:rsid w:val="002A3569"/>
    <w:rsid w:val="002B1F92"/>
    <w:rsid w:val="002B481D"/>
    <w:rsid w:val="002C3D0B"/>
    <w:rsid w:val="002D427B"/>
    <w:rsid w:val="002D5D97"/>
    <w:rsid w:val="002E6BCC"/>
    <w:rsid w:val="002F135C"/>
    <w:rsid w:val="002F2F13"/>
    <w:rsid w:val="002F2FEC"/>
    <w:rsid w:val="002F5B9D"/>
    <w:rsid w:val="00300426"/>
    <w:rsid w:val="00302A3E"/>
    <w:rsid w:val="003056FC"/>
    <w:rsid w:val="0031612D"/>
    <w:rsid w:val="003300BD"/>
    <w:rsid w:val="0033792A"/>
    <w:rsid w:val="00340B9F"/>
    <w:rsid w:val="0034280E"/>
    <w:rsid w:val="0036059F"/>
    <w:rsid w:val="00360E0E"/>
    <w:rsid w:val="003613FB"/>
    <w:rsid w:val="003640B2"/>
    <w:rsid w:val="00366FD7"/>
    <w:rsid w:val="00373CDE"/>
    <w:rsid w:val="00374F1D"/>
    <w:rsid w:val="00386BC4"/>
    <w:rsid w:val="00396C27"/>
    <w:rsid w:val="003A4CC3"/>
    <w:rsid w:val="003B4D60"/>
    <w:rsid w:val="003C45B0"/>
    <w:rsid w:val="003D227D"/>
    <w:rsid w:val="003D3316"/>
    <w:rsid w:val="003D6D04"/>
    <w:rsid w:val="003E44C4"/>
    <w:rsid w:val="003F3152"/>
    <w:rsid w:val="00400EBA"/>
    <w:rsid w:val="00402C9B"/>
    <w:rsid w:val="00405FB3"/>
    <w:rsid w:val="004122F6"/>
    <w:rsid w:val="0041287F"/>
    <w:rsid w:val="00416F64"/>
    <w:rsid w:val="004238F2"/>
    <w:rsid w:val="004248BD"/>
    <w:rsid w:val="00426A9F"/>
    <w:rsid w:val="00426C1E"/>
    <w:rsid w:val="00436207"/>
    <w:rsid w:val="00450EEA"/>
    <w:rsid w:val="00451B60"/>
    <w:rsid w:val="00462947"/>
    <w:rsid w:val="00464CDB"/>
    <w:rsid w:val="00472C3C"/>
    <w:rsid w:val="00474096"/>
    <w:rsid w:val="00477279"/>
    <w:rsid w:val="004845B9"/>
    <w:rsid w:val="00484F90"/>
    <w:rsid w:val="004976B4"/>
    <w:rsid w:val="004A372D"/>
    <w:rsid w:val="004B7373"/>
    <w:rsid w:val="004B7B61"/>
    <w:rsid w:val="004C01CA"/>
    <w:rsid w:val="004C440B"/>
    <w:rsid w:val="004E000F"/>
    <w:rsid w:val="005006D0"/>
    <w:rsid w:val="00501D2C"/>
    <w:rsid w:val="0050656B"/>
    <w:rsid w:val="00515708"/>
    <w:rsid w:val="005242C9"/>
    <w:rsid w:val="00525D30"/>
    <w:rsid w:val="00532811"/>
    <w:rsid w:val="005441FD"/>
    <w:rsid w:val="00546ED6"/>
    <w:rsid w:val="005473BB"/>
    <w:rsid w:val="0055061C"/>
    <w:rsid w:val="005516E9"/>
    <w:rsid w:val="00555019"/>
    <w:rsid w:val="005564DE"/>
    <w:rsid w:val="005653AB"/>
    <w:rsid w:val="0058498D"/>
    <w:rsid w:val="00586627"/>
    <w:rsid w:val="00592F09"/>
    <w:rsid w:val="00594E72"/>
    <w:rsid w:val="005950BE"/>
    <w:rsid w:val="005A127C"/>
    <w:rsid w:val="005A256D"/>
    <w:rsid w:val="005A6E4F"/>
    <w:rsid w:val="005B1074"/>
    <w:rsid w:val="005B2519"/>
    <w:rsid w:val="005B79A1"/>
    <w:rsid w:val="005C635B"/>
    <w:rsid w:val="005D1B45"/>
    <w:rsid w:val="005E092E"/>
    <w:rsid w:val="005E4522"/>
    <w:rsid w:val="005F0091"/>
    <w:rsid w:val="005F163D"/>
    <w:rsid w:val="0060034A"/>
    <w:rsid w:val="006006BC"/>
    <w:rsid w:val="0060126E"/>
    <w:rsid w:val="00603DA9"/>
    <w:rsid w:val="006059DD"/>
    <w:rsid w:val="006219E3"/>
    <w:rsid w:val="00622996"/>
    <w:rsid w:val="00655DC0"/>
    <w:rsid w:val="0066234C"/>
    <w:rsid w:val="00674803"/>
    <w:rsid w:val="006851EB"/>
    <w:rsid w:val="006951CA"/>
    <w:rsid w:val="006B614A"/>
    <w:rsid w:val="006B7520"/>
    <w:rsid w:val="006C7E8D"/>
    <w:rsid w:val="006D0849"/>
    <w:rsid w:val="006D338D"/>
    <w:rsid w:val="006D62F6"/>
    <w:rsid w:val="006E2A11"/>
    <w:rsid w:val="006E4E55"/>
    <w:rsid w:val="006F12BE"/>
    <w:rsid w:val="006F1969"/>
    <w:rsid w:val="006F32C1"/>
    <w:rsid w:val="0071148D"/>
    <w:rsid w:val="00743300"/>
    <w:rsid w:val="00743F65"/>
    <w:rsid w:val="007537F4"/>
    <w:rsid w:val="007567AE"/>
    <w:rsid w:val="00770B83"/>
    <w:rsid w:val="0077206E"/>
    <w:rsid w:val="00777AC5"/>
    <w:rsid w:val="00781093"/>
    <w:rsid w:val="0079239A"/>
    <w:rsid w:val="00794DFF"/>
    <w:rsid w:val="007A4A4D"/>
    <w:rsid w:val="007A7DDE"/>
    <w:rsid w:val="007D3BF0"/>
    <w:rsid w:val="007D6248"/>
    <w:rsid w:val="007D77F2"/>
    <w:rsid w:val="007F0CD5"/>
    <w:rsid w:val="007F16D5"/>
    <w:rsid w:val="007F2B57"/>
    <w:rsid w:val="007F4C2B"/>
    <w:rsid w:val="008009EC"/>
    <w:rsid w:val="00810E5A"/>
    <w:rsid w:val="0081102C"/>
    <w:rsid w:val="008175D0"/>
    <w:rsid w:val="008236D3"/>
    <w:rsid w:val="008315A7"/>
    <w:rsid w:val="00835F35"/>
    <w:rsid w:val="0083626F"/>
    <w:rsid w:val="008365B9"/>
    <w:rsid w:val="00841D26"/>
    <w:rsid w:val="00850187"/>
    <w:rsid w:val="00850A38"/>
    <w:rsid w:val="00852639"/>
    <w:rsid w:val="00853942"/>
    <w:rsid w:val="00856781"/>
    <w:rsid w:val="0086107E"/>
    <w:rsid w:val="00862920"/>
    <w:rsid w:val="00862B92"/>
    <w:rsid w:val="00863150"/>
    <w:rsid w:val="0087238A"/>
    <w:rsid w:val="00873EE2"/>
    <w:rsid w:val="00884308"/>
    <w:rsid w:val="00890E07"/>
    <w:rsid w:val="00891CDD"/>
    <w:rsid w:val="00897F4A"/>
    <w:rsid w:val="008A1C38"/>
    <w:rsid w:val="008A74EE"/>
    <w:rsid w:val="008B720E"/>
    <w:rsid w:val="008C5403"/>
    <w:rsid w:val="008C693D"/>
    <w:rsid w:val="008D18EF"/>
    <w:rsid w:val="008D2AED"/>
    <w:rsid w:val="008D633A"/>
    <w:rsid w:val="008D753A"/>
    <w:rsid w:val="008E00F0"/>
    <w:rsid w:val="008E343B"/>
    <w:rsid w:val="008E34EC"/>
    <w:rsid w:val="008E5D11"/>
    <w:rsid w:val="008F009A"/>
    <w:rsid w:val="00901453"/>
    <w:rsid w:val="009177A1"/>
    <w:rsid w:val="0092725A"/>
    <w:rsid w:val="00933581"/>
    <w:rsid w:val="009405D9"/>
    <w:rsid w:val="00943E74"/>
    <w:rsid w:val="00946D38"/>
    <w:rsid w:val="00955E18"/>
    <w:rsid w:val="00956A4A"/>
    <w:rsid w:val="00956A8C"/>
    <w:rsid w:val="00957455"/>
    <w:rsid w:val="0097067B"/>
    <w:rsid w:val="00976CF8"/>
    <w:rsid w:val="00981D31"/>
    <w:rsid w:val="00987911"/>
    <w:rsid w:val="009920BA"/>
    <w:rsid w:val="00995E4B"/>
    <w:rsid w:val="00996FA7"/>
    <w:rsid w:val="009976B2"/>
    <w:rsid w:val="009A085F"/>
    <w:rsid w:val="009B021C"/>
    <w:rsid w:val="009B0472"/>
    <w:rsid w:val="009B486F"/>
    <w:rsid w:val="009C270D"/>
    <w:rsid w:val="009C2A0B"/>
    <w:rsid w:val="009D0644"/>
    <w:rsid w:val="009D0F11"/>
    <w:rsid w:val="009E2FBD"/>
    <w:rsid w:val="009F4199"/>
    <w:rsid w:val="009F61CD"/>
    <w:rsid w:val="00A02921"/>
    <w:rsid w:val="00A02E1D"/>
    <w:rsid w:val="00A13B92"/>
    <w:rsid w:val="00A24CE5"/>
    <w:rsid w:val="00A30508"/>
    <w:rsid w:val="00A454D1"/>
    <w:rsid w:val="00A51F6F"/>
    <w:rsid w:val="00A533A7"/>
    <w:rsid w:val="00A56DC2"/>
    <w:rsid w:val="00A62ECD"/>
    <w:rsid w:val="00A67769"/>
    <w:rsid w:val="00A73911"/>
    <w:rsid w:val="00A74EDE"/>
    <w:rsid w:val="00AA44DD"/>
    <w:rsid w:val="00AA55C1"/>
    <w:rsid w:val="00AB1E17"/>
    <w:rsid w:val="00AB267D"/>
    <w:rsid w:val="00AB70CB"/>
    <w:rsid w:val="00AC05CC"/>
    <w:rsid w:val="00AC3E09"/>
    <w:rsid w:val="00AD0B29"/>
    <w:rsid w:val="00AD0CC6"/>
    <w:rsid w:val="00AF07CB"/>
    <w:rsid w:val="00AF6DBF"/>
    <w:rsid w:val="00B05BDA"/>
    <w:rsid w:val="00B22FC1"/>
    <w:rsid w:val="00B23892"/>
    <w:rsid w:val="00B32CA0"/>
    <w:rsid w:val="00B33329"/>
    <w:rsid w:val="00B3675F"/>
    <w:rsid w:val="00B3792D"/>
    <w:rsid w:val="00B4188A"/>
    <w:rsid w:val="00B446BB"/>
    <w:rsid w:val="00B53B33"/>
    <w:rsid w:val="00B620C1"/>
    <w:rsid w:val="00B624A2"/>
    <w:rsid w:val="00B66872"/>
    <w:rsid w:val="00B76CD0"/>
    <w:rsid w:val="00B87B33"/>
    <w:rsid w:val="00B94B34"/>
    <w:rsid w:val="00B96F45"/>
    <w:rsid w:val="00BA295A"/>
    <w:rsid w:val="00BB141B"/>
    <w:rsid w:val="00BD17D0"/>
    <w:rsid w:val="00BD55B6"/>
    <w:rsid w:val="00BE04DE"/>
    <w:rsid w:val="00BE0AE1"/>
    <w:rsid w:val="00BE0D93"/>
    <w:rsid w:val="00BF1965"/>
    <w:rsid w:val="00BF5227"/>
    <w:rsid w:val="00BF5395"/>
    <w:rsid w:val="00C00026"/>
    <w:rsid w:val="00C00189"/>
    <w:rsid w:val="00C01EED"/>
    <w:rsid w:val="00C20C1A"/>
    <w:rsid w:val="00C21D23"/>
    <w:rsid w:val="00C33E85"/>
    <w:rsid w:val="00C37D08"/>
    <w:rsid w:val="00C408D1"/>
    <w:rsid w:val="00C46AE6"/>
    <w:rsid w:val="00C47A2C"/>
    <w:rsid w:val="00C5536E"/>
    <w:rsid w:val="00C630BD"/>
    <w:rsid w:val="00C64725"/>
    <w:rsid w:val="00C712D3"/>
    <w:rsid w:val="00C81611"/>
    <w:rsid w:val="00C81EE7"/>
    <w:rsid w:val="00C85A81"/>
    <w:rsid w:val="00C85AF2"/>
    <w:rsid w:val="00C86D9F"/>
    <w:rsid w:val="00C9056C"/>
    <w:rsid w:val="00C90B71"/>
    <w:rsid w:val="00C9332F"/>
    <w:rsid w:val="00CC0EB7"/>
    <w:rsid w:val="00CC1B98"/>
    <w:rsid w:val="00CD2B87"/>
    <w:rsid w:val="00CE0420"/>
    <w:rsid w:val="00CF155B"/>
    <w:rsid w:val="00D01D06"/>
    <w:rsid w:val="00D0526E"/>
    <w:rsid w:val="00D05E2F"/>
    <w:rsid w:val="00D131BD"/>
    <w:rsid w:val="00D24DCD"/>
    <w:rsid w:val="00D26135"/>
    <w:rsid w:val="00D276B1"/>
    <w:rsid w:val="00D3342E"/>
    <w:rsid w:val="00D36C4F"/>
    <w:rsid w:val="00D36E42"/>
    <w:rsid w:val="00D454EE"/>
    <w:rsid w:val="00D528FC"/>
    <w:rsid w:val="00D57018"/>
    <w:rsid w:val="00D61E66"/>
    <w:rsid w:val="00D6268F"/>
    <w:rsid w:val="00D643ED"/>
    <w:rsid w:val="00D710A3"/>
    <w:rsid w:val="00D748D5"/>
    <w:rsid w:val="00D85D03"/>
    <w:rsid w:val="00D932F8"/>
    <w:rsid w:val="00D94021"/>
    <w:rsid w:val="00DA0579"/>
    <w:rsid w:val="00DC6B55"/>
    <w:rsid w:val="00DE5F02"/>
    <w:rsid w:val="00DE6032"/>
    <w:rsid w:val="00DF4E03"/>
    <w:rsid w:val="00DF4F6B"/>
    <w:rsid w:val="00E02785"/>
    <w:rsid w:val="00E05F99"/>
    <w:rsid w:val="00E11050"/>
    <w:rsid w:val="00E12142"/>
    <w:rsid w:val="00E2360B"/>
    <w:rsid w:val="00E307A0"/>
    <w:rsid w:val="00E35431"/>
    <w:rsid w:val="00E436FC"/>
    <w:rsid w:val="00E55355"/>
    <w:rsid w:val="00E56D50"/>
    <w:rsid w:val="00E60B07"/>
    <w:rsid w:val="00E60C4A"/>
    <w:rsid w:val="00E80020"/>
    <w:rsid w:val="00E9188A"/>
    <w:rsid w:val="00E95FF7"/>
    <w:rsid w:val="00E97AE7"/>
    <w:rsid w:val="00EA19F2"/>
    <w:rsid w:val="00EB1713"/>
    <w:rsid w:val="00EB3600"/>
    <w:rsid w:val="00EC1F6A"/>
    <w:rsid w:val="00EC4C89"/>
    <w:rsid w:val="00ED7834"/>
    <w:rsid w:val="00EE130F"/>
    <w:rsid w:val="00EE5FD1"/>
    <w:rsid w:val="00EF1F86"/>
    <w:rsid w:val="00EF28C0"/>
    <w:rsid w:val="00EF3DE5"/>
    <w:rsid w:val="00F032FD"/>
    <w:rsid w:val="00F055B9"/>
    <w:rsid w:val="00F1204A"/>
    <w:rsid w:val="00F17C1C"/>
    <w:rsid w:val="00F27817"/>
    <w:rsid w:val="00F37030"/>
    <w:rsid w:val="00F420D5"/>
    <w:rsid w:val="00F43C26"/>
    <w:rsid w:val="00F46407"/>
    <w:rsid w:val="00F46AC6"/>
    <w:rsid w:val="00F65050"/>
    <w:rsid w:val="00F73A2A"/>
    <w:rsid w:val="00F86235"/>
    <w:rsid w:val="00F9173C"/>
    <w:rsid w:val="00F91DC2"/>
    <w:rsid w:val="00FA1058"/>
    <w:rsid w:val="00FA25C1"/>
    <w:rsid w:val="00FA6422"/>
    <w:rsid w:val="00FA6662"/>
    <w:rsid w:val="00FB527B"/>
    <w:rsid w:val="00FC5A11"/>
    <w:rsid w:val="00FC5AC4"/>
    <w:rsid w:val="00FD5232"/>
    <w:rsid w:val="00FE6AC0"/>
    <w:rsid w:val="00FF238B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514B8A1"/>
  <w15:chartTrackingRefBased/>
  <w15:docId w15:val="{EED8BE88-5E43-4909-9CE6-65EDB482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character" w:styleId="Hyperlink">
    <w:name w:val="Hyperlink"/>
    <w:basedOn w:val="DefaultParagraphFont"/>
    <w:rsid w:val="000B1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5A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03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3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32FD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3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32FD"/>
    <w:rPr>
      <w:rFonts w:ascii="Arial" w:hAnsi="Arial" w:cs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2E6BCC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dpi.com/1996-1073/16/16/599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fmattleach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.thapa@lboro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FCCC Word Document" ma:contentTypeID="0x010100AC1080CB3F0A334A8C0952354BCA8564007BC3E68EB416CC4AAA2F6028BACC239E" ma:contentTypeVersion="1" ma:contentTypeDescription="Creates a new UNFCCC Document" ma:contentTypeScope="" ma:versionID="7f3a503a110ea00c97dd81f74b72a3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436A-653D-41CD-8080-BB936120E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B85DF4-F28E-47D8-BD37-2CF8F8E2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Samir Thapa</cp:lastModifiedBy>
  <cp:revision>13</cp:revision>
  <cp:lastPrinted>2001-10-25T12:04:00Z</cp:lastPrinted>
  <dcterms:created xsi:type="dcterms:W3CDTF">2023-11-06T11:20:00Z</dcterms:created>
  <dcterms:modified xsi:type="dcterms:W3CDTF">2023-11-06T12:40:00Z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</Properties>
</file>