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6C5817A6" w:rsidR="00E60C4A" w:rsidRDefault="00E60C4A" w:rsidP="00E60C4A">
      <w:pPr>
        <w:pStyle w:val="StyleRegHead111pt"/>
        <w:numPr>
          <w:ilvl w:val="0"/>
          <w:numId w:val="0"/>
        </w:numPr>
        <w:jc w:val="left"/>
      </w:pPr>
      <w:r>
        <w:t xml:space="preserve">Name of submitter: </w:t>
      </w:r>
      <w:r w:rsidRPr="00645108">
        <w:rPr>
          <w:u w:val="single"/>
        </w:rPr>
        <w:t>__</w:t>
      </w:r>
      <w:r w:rsidR="00645108" w:rsidRPr="00645108">
        <w:rPr>
          <w:u w:val="single"/>
        </w:rPr>
        <w:t>Rajib Pramanik</w:t>
      </w:r>
      <w:r w:rsidRPr="00645108">
        <w:rPr>
          <w:u w:val="single"/>
        </w:rPr>
        <w:t>__</w:t>
      </w:r>
    </w:p>
    <w:p w14:paraId="1539A45C" w14:textId="50BEEE3B" w:rsidR="00E60C4A" w:rsidRDefault="00E60C4A" w:rsidP="00E60C4A">
      <w:pPr>
        <w:pStyle w:val="StyleRegHead111pt"/>
        <w:numPr>
          <w:ilvl w:val="0"/>
          <w:numId w:val="0"/>
        </w:numPr>
        <w:jc w:val="left"/>
      </w:pPr>
      <w:r>
        <w:t>Affiliated organization of the submitter</w:t>
      </w:r>
      <w:r w:rsidR="006D0849">
        <w:t xml:space="preserve"> (if any)</w:t>
      </w:r>
      <w:r>
        <w:t>: ___</w:t>
      </w:r>
      <w:r w:rsidR="00645108" w:rsidRPr="00FC7B87">
        <w:rPr>
          <w:u w:val="single"/>
        </w:rPr>
        <w:t xml:space="preserve">EKI Energy Services </w:t>
      </w:r>
      <w:r w:rsidR="00FC7B87" w:rsidRPr="00FC7B87">
        <w:rPr>
          <w:u w:val="single"/>
        </w:rPr>
        <w:t>Limited</w:t>
      </w:r>
    </w:p>
    <w:p w14:paraId="5F63183D" w14:textId="668C2D2A" w:rsidR="00E60C4A" w:rsidRPr="00FC7B87" w:rsidRDefault="00E60C4A" w:rsidP="00E60C4A">
      <w:pPr>
        <w:pStyle w:val="StyleRegHead111pt"/>
        <w:numPr>
          <w:ilvl w:val="0"/>
          <w:numId w:val="0"/>
        </w:numPr>
        <w:jc w:val="left"/>
        <w:rPr>
          <w:u w:val="single"/>
        </w:rPr>
      </w:pPr>
      <w:r>
        <w:t>Contact email of submitter: __</w:t>
      </w:r>
      <w:r w:rsidR="00FC7B87" w:rsidRPr="00FC7B87">
        <w:rPr>
          <w:u w:val="single"/>
        </w:rPr>
        <w:t>rajib.pramanik@enkingint.org</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475"/>
        <w:gridCol w:w="935"/>
        <w:gridCol w:w="992"/>
        <w:gridCol w:w="4762"/>
        <w:gridCol w:w="4253"/>
        <w:gridCol w:w="2552"/>
      </w:tblGrid>
      <w:tr w:rsidR="00863150" w14:paraId="44974AB3" w14:textId="77777777" w:rsidTr="006A12B1">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475"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35"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6A12B1">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935"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FC7B87" w14:paraId="1DABCE09" w14:textId="77777777" w:rsidTr="006A12B1">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50B371A4" w:rsidR="00FC7B87" w:rsidRDefault="00FC7B87" w:rsidP="00FC7B87">
            <w:pPr>
              <w:keepLines/>
              <w:spacing w:before="40" w:after="40" w:line="190" w:lineRule="exact"/>
              <w:jc w:val="center"/>
              <w:rPr>
                <w:b/>
                <w:bCs/>
                <w:sz w:val="16"/>
                <w:szCs w:val="16"/>
              </w:rPr>
            </w:pPr>
            <w:r>
              <w:rPr>
                <w:b/>
                <w:bCs/>
                <w:sz w:val="16"/>
                <w:szCs w:val="16"/>
              </w:rPr>
              <w:t>1</w:t>
            </w:r>
          </w:p>
        </w:tc>
        <w:tc>
          <w:tcPr>
            <w:tcW w:w="1475" w:type="dxa"/>
            <w:tcBorders>
              <w:top w:val="single" w:sz="6" w:space="0" w:color="auto"/>
              <w:left w:val="single" w:sz="6" w:space="0" w:color="auto"/>
              <w:bottom w:val="single" w:sz="6" w:space="0" w:color="auto"/>
              <w:right w:val="single" w:sz="6" w:space="0" w:color="auto"/>
            </w:tcBorders>
          </w:tcPr>
          <w:p w14:paraId="5C076DD9" w14:textId="14EB5C0C" w:rsidR="00FC7B87" w:rsidRDefault="00FC7B87" w:rsidP="00FC7B87">
            <w:pPr>
              <w:keepLines/>
              <w:spacing w:before="40" w:after="40" w:line="190" w:lineRule="exact"/>
              <w:jc w:val="center"/>
              <w:rPr>
                <w:b/>
                <w:bCs/>
                <w:sz w:val="16"/>
                <w:szCs w:val="16"/>
              </w:rPr>
            </w:pPr>
            <w:r>
              <w:rPr>
                <w:b/>
                <w:bCs/>
                <w:sz w:val="16"/>
                <w:szCs w:val="16"/>
              </w:rPr>
              <w:t>15</w:t>
            </w:r>
          </w:p>
        </w:tc>
        <w:tc>
          <w:tcPr>
            <w:tcW w:w="935" w:type="dxa"/>
            <w:tcBorders>
              <w:top w:val="single" w:sz="6" w:space="0" w:color="auto"/>
              <w:left w:val="single" w:sz="6" w:space="0" w:color="auto"/>
              <w:bottom w:val="single" w:sz="6" w:space="0" w:color="auto"/>
              <w:right w:val="single" w:sz="6" w:space="0" w:color="auto"/>
            </w:tcBorders>
          </w:tcPr>
          <w:p w14:paraId="240E162B" w14:textId="2436F38E" w:rsidR="00FC7B87" w:rsidRDefault="00FC7B87" w:rsidP="00FC7B87">
            <w:pPr>
              <w:keepLines/>
              <w:spacing w:before="40" w:after="40" w:line="190" w:lineRule="exact"/>
              <w:jc w:val="center"/>
              <w:rPr>
                <w:b/>
                <w:bCs/>
                <w:sz w:val="16"/>
                <w:szCs w:val="16"/>
              </w:rPr>
            </w:pPr>
            <w:r>
              <w:rPr>
                <w:b/>
                <w:bCs/>
                <w:sz w:val="16"/>
                <w:szCs w:val="16"/>
              </w:rPr>
              <w:t>5</w:t>
            </w:r>
          </w:p>
        </w:tc>
        <w:tc>
          <w:tcPr>
            <w:tcW w:w="992" w:type="dxa"/>
            <w:tcBorders>
              <w:top w:val="single" w:sz="6" w:space="0" w:color="auto"/>
              <w:left w:val="single" w:sz="6" w:space="0" w:color="auto"/>
              <w:bottom w:val="single" w:sz="6" w:space="0" w:color="auto"/>
              <w:right w:val="single" w:sz="6" w:space="0" w:color="auto"/>
            </w:tcBorders>
          </w:tcPr>
          <w:p w14:paraId="4B753E85" w14:textId="0ED0D356" w:rsidR="00FC7B87" w:rsidRDefault="00FC7B87" w:rsidP="00FC7B87">
            <w:pPr>
              <w:keepLines/>
              <w:spacing w:before="40" w:after="40" w:line="190" w:lineRule="exact"/>
              <w:jc w:val="center"/>
              <w:rPr>
                <w:b/>
                <w:bCs/>
                <w:sz w:val="16"/>
                <w:szCs w:val="16"/>
              </w:rPr>
            </w:pPr>
            <w:r>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6BEC586B" w14:textId="520F50A3" w:rsidR="00FC7B87" w:rsidRDefault="00FC7B87" w:rsidP="00FC7B87">
            <w:pPr>
              <w:keepLines/>
              <w:spacing w:before="40" w:after="40" w:line="190" w:lineRule="exact"/>
              <w:jc w:val="left"/>
              <w:rPr>
                <w:b/>
                <w:bCs/>
                <w:sz w:val="16"/>
                <w:szCs w:val="16"/>
              </w:rPr>
            </w:pPr>
            <w:r w:rsidRPr="00CA070A">
              <w:rPr>
                <w:b/>
                <w:bCs/>
                <w:sz w:val="16"/>
                <w:szCs w:val="16"/>
              </w:rPr>
              <w:t>The model does not acco</w:t>
            </w:r>
            <w:r>
              <w:rPr>
                <w:b/>
                <w:bCs/>
                <w:sz w:val="16"/>
                <w:szCs w:val="16"/>
              </w:rPr>
              <w:t xml:space="preserve">unt for changes in SOC and only </w:t>
            </w:r>
            <w:r w:rsidRPr="00CA070A">
              <w:rPr>
                <w:b/>
                <w:bCs/>
                <w:sz w:val="16"/>
                <w:szCs w:val="16"/>
              </w:rPr>
              <w:t>addresses DOM indirectly.</w:t>
            </w:r>
            <w:r>
              <w:rPr>
                <w:b/>
                <w:bCs/>
                <w:sz w:val="16"/>
                <w:szCs w:val="16"/>
              </w:rPr>
              <w:t xml:space="preserve"> How it can be considered conservative? </w:t>
            </w:r>
            <w:proofErr w:type="gramStart"/>
            <w:r>
              <w:rPr>
                <w:b/>
                <w:bCs/>
                <w:sz w:val="16"/>
                <w:szCs w:val="16"/>
              </w:rPr>
              <w:t>Where</w:t>
            </w:r>
            <w:proofErr w:type="gramEnd"/>
            <w:r>
              <w:rPr>
                <w:b/>
                <w:bCs/>
                <w:sz w:val="16"/>
                <w:szCs w:val="16"/>
              </w:rPr>
              <w:t xml:space="preserve"> in </w:t>
            </w:r>
            <w:r w:rsidRPr="00CA070A">
              <w:rPr>
                <w:b/>
                <w:bCs/>
                <w:sz w:val="16"/>
                <w:szCs w:val="16"/>
              </w:rPr>
              <w:t>harvesting leads to forest degradation or deforestation.</w:t>
            </w:r>
          </w:p>
        </w:tc>
        <w:tc>
          <w:tcPr>
            <w:tcW w:w="4253" w:type="dxa"/>
            <w:tcBorders>
              <w:top w:val="single" w:sz="6" w:space="0" w:color="auto"/>
              <w:left w:val="single" w:sz="6" w:space="0" w:color="auto"/>
              <w:bottom w:val="single" w:sz="6" w:space="0" w:color="auto"/>
              <w:right w:val="single" w:sz="6" w:space="0" w:color="auto"/>
            </w:tcBorders>
          </w:tcPr>
          <w:p w14:paraId="6508F47C" w14:textId="30954BAB" w:rsidR="00FC7B87" w:rsidRDefault="00FC7B87" w:rsidP="00FC7B87">
            <w:pPr>
              <w:keepLines/>
              <w:spacing w:before="40" w:after="40" w:line="190" w:lineRule="exact"/>
              <w:jc w:val="left"/>
              <w:rPr>
                <w:b/>
                <w:bCs/>
                <w:sz w:val="16"/>
                <w:szCs w:val="16"/>
              </w:rPr>
            </w:pPr>
            <w:r w:rsidRPr="00CA070A">
              <w:rPr>
                <w:b/>
                <w:bCs/>
                <w:sz w:val="16"/>
                <w:szCs w:val="16"/>
              </w:rPr>
              <w:t xml:space="preserve">The model </w:t>
            </w:r>
            <w:r>
              <w:rPr>
                <w:b/>
                <w:bCs/>
                <w:sz w:val="16"/>
                <w:szCs w:val="16"/>
              </w:rPr>
              <w:t xml:space="preserve">must </w:t>
            </w:r>
            <w:r w:rsidRPr="00CA070A">
              <w:rPr>
                <w:b/>
                <w:bCs/>
                <w:sz w:val="16"/>
                <w:szCs w:val="16"/>
              </w:rPr>
              <w:t>acco</w:t>
            </w:r>
            <w:r>
              <w:rPr>
                <w:b/>
                <w:bCs/>
                <w:sz w:val="16"/>
                <w:szCs w:val="16"/>
              </w:rPr>
              <w:t xml:space="preserve">unt for changes in SOC and </w:t>
            </w:r>
            <w:r w:rsidRPr="00CA070A">
              <w:rPr>
                <w:b/>
                <w:bCs/>
                <w:sz w:val="16"/>
                <w:szCs w:val="16"/>
              </w:rPr>
              <w:t>DOM.</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FC7B87" w:rsidRDefault="00FC7B87" w:rsidP="00FC7B87">
            <w:pPr>
              <w:keepLines/>
              <w:spacing w:before="40" w:after="40" w:line="190" w:lineRule="exact"/>
              <w:jc w:val="center"/>
              <w:rPr>
                <w:b/>
                <w:bCs/>
                <w:sz w:val="16"/>
                <w:szCs w:val="16"/>
              </w:rPr>
            </w:pPr>
          </w:p>
        </w:tc>
      </w:tr>
      <w:tr w:rsidR="00FC7B87" w14:paraId="7BCB2812" w14:textId="77777777" w:rsidTr="006A12B1">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0F1B8AE8" w:rsidR="00FC7B87" w:rsidRDefault="00FC7B87" w:rsidP="00FC7B87">
            <w:pPr>
              <w:keepLines/>
              <w:spacing w:before="40" w:after="40" w:line="190" w:lineRule="exact"/>
              <w:jc w:val="center"/>
              <w:rPr>
                <w:b/>
                <w:bCs/>
                <w:sz w:val="16"/>
                <w:szCs w:val="16"/>
              </w:rPr>
            </w:pPr>
            <w:r>
              <w:rPr>
                <w:b/>
                <w:bCs/>
                <w:sz w:val="16"/>
                <w:szCs w:val="16"/>
              </w:rPr>
              <w:t>2</w:t>
            </w:r>
          </w:p>
        </w:tc>
        <w:tc>
          <w:tcPr>
            <w:tcW w:w="1475" w:type="dxa"/>
            <w:tcBorders>
              <w:top w:val="single" w:sz="6" w:space="0" w:color="auto"/>
              <w:left w:val="single" w:sz="6" w:space="0" w:color="auto"/>
              <w:bottom w:val="single" w:sz="6" w:space="0" w:color="auto"/>
              <w:right w:val="single" w:sz="6" w:space="0" w:color="auto"/>
            </w:tcBorders>
          </w:tcPr>
          <w:p w14:paraId="59BBCE6B" w14:textId="6A84996A" w:rsidR="00FC7B87" w:rsidRDefault="00FC7B87" w:rsidP="00FC7B87">
            <w:pPr>
              <w:keepLines/>
              <w:spacing w:before="40" w:after="40" w:line="190" w:lineRule="exact"/>
              <w:jc w:val="center"/>
              <w:rPr>
                <w:b/>
                <w:bCs/>
                <w:sz w:val="16"/>
                <w:szCs w:val="16"/>
              </w:rPr>
            </w:pPr>
            <w:r>
              <w:rPr>
                <w:b/>
                <w:bCs/>
                <w:sz w:val="16"/>
                <w:szCs w:val="16"/>
              </w:rPr>
              <w:t>17</w:t>
            </w:r>
          </w:p>
        </w:tc>
        <w:tc>
          <w:tcPr>
            <w:tcW w:w="935" w:type="dxa"/>
            <w:tcBorders>
              <w:top w:val="single" w:sz="6" w:space="0" w:color="auto"/>
              <w:left w:val="single" w:sz="6" w:space="0" w:color="auto"/>
              <w:bottom w:val="single" w:sz="6" w:space="0" w:color="auto"/>
              <w:right w:val="single" w:sz="6" w:space="0" w:color="auto"/>
            </w:tcBorders>
          </w:tcPr>
          <w:p w14:paraId="14EAD6AF" w14:textId="7BFE5D7B" w:rsidR="00FC7B87" w:rsidRDefault="00FC7B87" w:rsidP="00FC7B87">
            <w:pPr>
              <w:keepLines/>
              <w:spacing w:before="40" w:after="40" w:line="190" w:lineRule="exact"/>
              <w:jc w:val="center"/>
              <w:rPr>
                <w:b/>
                <w:bCs/>
                <w:sz w:val="16"/>
                <w:szCs w:val="16"/>
              </w:rPr>
            </w:pPr>
            <w:r>
              <w:rPr>
                <w:b/>
                <w:bCs/>
                <w:sz w:val="16"/>
                <w:szCs w:val="16"/>
              </w:rPr>
              <w:t>1</w:t>
            </w:r>
          </w:p>
        </w:tc>
        <w:tc>
          <w:tcPr>
            <w:tcW w:w="992" w:type="dxa"/>
            <w:tcBorders>
              <w:top w:val="single" w:sz="6" w:space="0" w:color="auto"/>
              <w:left w:val="single" w:sz="6" w:space="0" w:color="auto"/>
              <w:bottom w:val="single" w:sz="6" w:space="0" w:color="auto"/>
              <w:right w:val="single" w:sz="6" w:space="0" w:color="auto"/>
            </w:tcBorders>
          </w:tcPr>
          <w:p w14:paraId="103ABC10" w14:textId="077BAF52" w:rsidR="00FC7B87" w:rsidRDefault="00FC7B87" w:rsidP="00FC7B87">
            <w:pPr>
              <w:keepLines/>
              <w:spacing w:before="40" w:after="40" w:line="190" w:lineRule="exact"/>
              <w:jc w:val="center"/>
              <w:rPr>
                <w:b/>
                <w:bCs/>
                <w:sz w:val="16"/>
                <w:szCs w:val="16"/>
              </w:rPr>
            </w:pPr>
            <w:r>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384D660A" w14:textId="2987230B" w:rsidR="00FC7B87" w:rsidRDefault="00FC7B87" w:rsidP="00FC7B87">
            <w:pPr>
              <w:keepLines/>
              <w:spacing w:before="40" w:after="40" w:line="190" w:lineRule="exact"/>
              <w:jc w:val="left"/>
              <w:rPr>
                <w:b/>
                <w:bCs/>
                <w:sz w:val="16"/>
                <w:szCs w:val="16"/>
              </w:rPr>
            </w:pPr>
            <w:r>
              <w:rPr>
                <w:b/>
                <w:bCs/>
                <w:sz w:val="16"/>
                <w:szCs w:val="16"/>
              </w:rPr>
              <w:t>W</w:t>
            </w:r>
            <w:r w:rsidRPr="00CA070A">
              <w:rPr>
                <w:b/>
                <w:bCs/>
                <w:sz w:val="16"/>
                <w:szCs w:val="16"/>
              </w:rPr>
              <w:t>ood consumed by formal and cottage industries as well as commercial establishments</w:t>
            </w:r>
            <w:r>
              <w:rPr>
                <w:b/>
                <w:bCs/>
                <w:sz w:val="16"/>
                <w:szCs w:val="16"/>
              </w:rPr>
              <w:t xml:space="preserve"> has not been considered by the model where in Asian </w:t>
            </w:r>
            <w:proofErr w:type="gramStart"/>
            <w:r>
              <w:rPr>
                <w:b/>
                <w:bCs/>
                <w:sz w:val="16"/>
                <w:szCs w:val="16"/>
              </w:rPr>
              <w:t>Countries</w:t>
            </w:r>
            <w:proofErr w:type="gramEnd"/>
            <w:r>
              <w:rPr>
                <w:b/>
                <w:bCs/>
                <w:sz w:val="16"/>
                <w:szCs w:val="16"/>
              </w:rPr>
              <w:t xml:space="preserve"> they are major consumers. </w:t>
            </w:r>
          </w:p>
        </w:tc>
        <w:tc>
          <w:tcPr>
            <w:tcW w:w="4253" w:type="dxa"/>
            <w:tcBorders>
              <w:top w:val="single" w:sz="6" w:space="0" w:color="auto"/>
              <w:left w:val="single" w:sz="6" w:space="0" w:color="auto"/>
              <w:bottom w:val="single" w:sz="6" w:space="0" w:color="auto"/>
              <w:right w:val="single" w:sz="6" w:space="0" w:color="auto"/>
            </w:tcBorders>
          </w:tcPr>
          <w:p w14:paraId="0C505844" w14:textId="40581B30" w:rsidR="00FC7B87" w:rsidRDefault="00FC7B87" w:rsidP="00FC7B87">
            <w:pPr>
              <w:keepLines/>
              <w:spacing w:before="40" w:after="40" w:line="190" w:lineRule="exact"/>
              <w:jc w:val="left"/>
              <w:rPr>
                <w:b/>
                <w:bCs/>
                <w:sz w:val="16"/>
                <w:szCs w:val="16"/>
              </w:rPr>
            </w:pPr>
            <w:r>
              <w:rPr>
                <w:b/>
                <w:bCs/>
                <w:sz w:val="16"/>
                <w:szCs w:val="16"/>
              </w:rPr>
              <w:t xml:space="preserve">Wood consumed </w:t>
            </w:r>
            <w:r w:rsidRPr="00CA070A">
              <w:rPr>
                <w:b/>
                <w:bCs/>
                <w:sz w:val="16"/>
                <w:szCs w:val="16"/>
              </w:rPr>
              <w:t>by formal and cottage industries as well as commercial establishments</w:t>
            </w:r>
            <w:r>
              <w:rPr>
                <w:b/>
                <w:bCs/>
                <w:sz w:val="16"/>
                <w:szCs w:val="16"/>
              </w:rPr>
              <w:t xml:space="preserve"> shall be considered.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FC7B87" w:rsidRDefault="00FC7B87" w:rsidP="00FC7B87">
            <w:pPr>
              <w:keepLines/>
              <w:spacing w:before="40" w:after="40" w:line="190" w:lineRule="exact"/>
              <w:jc w:val="center"/>
              <w:rPr>
                <w:b/>
                <w:bCs/>
                <w:sz w:val="16"/>
                <w:szCs w:val="16"/>
              </w:rPr>
            </w:pPr>
          </w:p>
        </w:tc>
      </w:tr>
      <w:tr w:rsidR="00FC7B87" w14:paraId="1DD2AA5D" w14:textId="77777777" w:rsidTr="006A12B1">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2EAC9018" w:rsidR="00FC7B87" w:rsidRDefault="00FC7B87" w:rsidP="00FC7B87">
            <w:pPr>
              <w:keepLines/>
              <w:spacing w:before="40" w:after="40" w:line="190" w:lineRule="exact"/>
              <w:jc w:val="center"/>
              <w:rPr>
                <w:b/>
                <w:bCs/>
                <w:sz w:val="16"/>
                <w:szCs w:val="16"/>
              </w:rPr>
            </w:pPr>
            <w:r>
              <w:rPr>
                <w:b/>
                <w:bCs/>
                <w:sz w:val="16"/>
                <w:szCs w:val="16"/>
              </w:rPr>
              <w:t>3</w:t>
            </w:r>
          </w:p>
        </w:tc>
        <w:tc>
          <w:tcPr>
            <w:tcW w:w="1475" w:type="dxa"/>
            <w:tcBorders>
              <w:top w:val="single" w:sz="6" w:space="0" w:color="auto"/>
              <w:left w:val="single" w:sz="6" w:space="0" w:color="auto"/>
              <w:bottom w:val="single" w:sz="6" w:space="0" w:color="auto"/>
              <w:right w:val="single" w:sz="6" w:space="0" w:color="auto"/>
            </w:tcBorders>
          </w:tcPr>
          <w:p w14:paraId="49AFBB31" w14:textId="0F17D123" w:rsidR="00FC7B87" w:rsidRDefault="00FC7B87" w:rsidP="00FC7B87">
            <w:pPr>
              <w:keepLines/>
              <w:spacing w:before="40" w:after="40" w:line="190" w:lineRule="exact"/>
              <w:jc w:val="center"/>
              <w:rPr>
                <w:b/>
                <w:bCs/>
                <w:sz w:val="16"/>
                <w:szCs w:val="16"/>
              </w:rPr>
            </w:pPr>
            <w:r>
              <w:rPr>
                <w:b/>
                <w:bCs/>
                <w:sz w:val="16"/>
                <w:szCs w:val="16"/>
              </w:rPr>
              <w:t>20</w:t>
            </w:r>
          </w:p>
        </w:tc>
        <w:tc>
          <w:tcPr>
            <w:tcW w:w="935" w:type="dxa"/>
            <w:tcBorders>
              <w:top w:val="single" w:sz="6" w:space="0" w:color="auto"/>
              <w:left w:val="single" w:sz="6" w:space="0" w:color="auto"/>
              <w:bottom w:val="single" w:sz="6" w:space="0" w:color="auto"/>
              <w:right w:val="single" w:sz="6" w:space="0" w:color="auto"/>
            </w:tcBorders>
          </w:tcPr>
          <w:p w14:paraId="75AD19F8" w14:textId="1FBEF73F" w:rsidR="00FC7B87" w:rsidRDefault="00FC7B87" w:rsidP="00FC7B87">
            <w:pPr>
              <w:keepLines/>
              <w:spacing w:before="40" w:after="40" w:line="190" w:lineRule="exact"/>
              <w:jc w:val="center"/>
              <w:rPr>
                <w:b/>
                <w:bCs/>
                <w:sz w:val="16"/>
                <w:szCs w:val="16"/>
              </w:rPr>
            </w:pPr>
            <w:r>
              <w:rPr>
                <w:b/>
                <w:bCs/>
                <w:sz w:val="16"/>
                <w:szCs w:val="16"/>
              </w:rPr>
              <w:t>10</w:t>
            </w:r>
          </w:p>
        </w:tc>
        <w:tc>
          <w:tcPr>
            <w:tcW w:w="992" w:type="dxa"/>
            <w:tcBorders>
              <w:top w:val="single" w:sz="6" w:space="0" w:color="auto"/>
              <w:left w:val="single" w:sz="6" w:space="0" w:color="auto"/>
              <w:bottom w:val="single" w:sz="6" w:space="0" w:color="auto"/>
              <w:right w:val="single" w:sz="6" w:space="0" w:color="auto"/>
            </w:tcBorders>
          </w:tcPr>
          <w:p w14:paraId="0CCA30C3" w14:textId="41B908DE" w:rsidR="00FC7B87" w:rsidRDefault="006A12B1" w:rsidP="00FC7B87">
            <w:pPr>
              <w:keepLines/>
              <w:spacing w:before="40" w:after="40" w:line="190" w:lineRule="exact"/>
              <w:jc w:val="center"/>
              <w:rPr>
                <w:b/>
                <w:bCs/>
                <w:sz w:val="16"/>
                <w:szCs w:val="16"/>
              </w:rPr>
            </w:pPr>
            <w:r>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43BD7172" w14:textId="6E52BE3F" w:rsidR="00FC7B87" w:rsidRDefault="00FC7B87" w:rsidP="00FC7B87">
            <w:pPr>
              <w:keepLines/>
              <w:spacing w:before="40" w:after="40" w:line="190" w:lineRule="exact"/>
              <w:jc w:val="left"/>
              <w:rPr>
                <w:b/>
                <w:bCs/>
                <w:sz w:val="16"/>
                <w:szCs w:val="16"/>
              </w:rPr>
            </w:pPr>
            <w:r w:rsidRPr="00CA070A">
              <w:rPr>
                <w:b/>
                <w:bCs/>
                <w:sz w:val="16"/>
                <w:szCs w:val="16"/>
              </w:rPr>
              <w:t xml:space="preserve">For this assessment, the likelihood of wood harvesting within protected areas was </w:t>
            </w:r>
            <w:r>
              <w:rPr>
                <w:b/>
                <w:bCs/>
                <w:sz w:val="16"/>
                <w:szCs w:val="16"/>
              </w:rPr>
              <w:t xml:space="preserve">considered </w:t>
            </w:r>
            <w:r w:rsidRPr="00CA070A">
              <w:rPr>
                <w:b/>
                <w:bCs/>
                <w:sz w:val="16"/>
                <w:szCs w:val="16"/>
              </w:rPr>
              <w:t>only 10% that of unprotected areas with similar terrain</w:t>
            </w:r>
            <w:r>
              <w:rPr>
                <w:b/>
                <w:bCs/>
                <w:sz w:val="16"/>
                <w:szCs w:val="16"/>
              </w:rPr>
              <w:t>, which is not in realty because of uncontrolled encroachment in protected area has witnessed loss of tree cover throughout the last decade.</w:t>
            </w:r>
          </w:p>
        </w:tc>
        <w:tc>
          <w:tcPr>
            <w:tcW w:w="4253" w:type="dxa"/>
            <w:tcBorders>
              <w:top w:val="single" w:sz="6" w:space="0" w:color="auto"/>
              <w:left w:val="single" w:sz="6" w:space="0" w:color="auto"/>
              <w:bottom w:val="single" w:sz="6" w:space="0" w:color="auto"/>
              <w:right w:val="single" w:sz="6" w:space="0" w:color="auto"/>
            </w:tcBorders>
          </w:tcPr>
          <w:p w14:paraId="55B5FCA0" w14:textId="775970CB" w:rsidR="00FC7B87" w:rsidRDefault="00FC7B87" w:rsidP="00FC7B87">
            <w:pPr>
              <w:keepLines/>
              <w:spacing w:before="40" w:after="40" w:line="190" w:lineRule="exact"/>
              <w:jc w:val="left"/>
              <w:rPr>
                <w:b/>
                <w:bCs/>
                <w:sz w:val="16"/>
                <w:szCs w:val="16"/>
              </w:rPr>
            </w:pPr>
            <w:r>
              <w:rPr>
                <w:b/>
                <w:bCs/>
                <w:sz w:val="16"/>
                <w:szCs w:val="16"/>
              </w:rPr>
              <w:t xml:space="preserve">Must use proper survey data to consider </w:t>
            </w:r>
            <w:r w:rsidRPr="00CA070A">
              <w:rPr>
                <w:b/>
                <w:bCs/>
                <w:sz w:val="16"/>
                <w:szCs w:val="16"/>
              </w:rPr>
              <w:t>wood harvesting within protected areas</w:t>
            </w:r>
            <w:r>
              <w:rPr>
                <w:b/>
                <w:bCs/>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FC7B87" w:rsidRDefault="00FC7B87" w:rsidP="00FC7B87">
            <w:pPr>
              <w:keepLines/>
              <w:spacing w:before="40" w:after="40" w:line="190" w:lineRule="exact"/>
              <w:jc w:val="center"/>
              <w:rPr>
                <w:b/>
                <w:bCs/>
                <w:sz w:val="16"/>
                <w:szCs w:val="16"/>
              </w:rPr>
            </w:pPr>
          </w:p>
        </w:tc>
      </w:tr>
      <w:tr w:rsidR="00FC7B87" w14:paraId="4452319A" w14:textId="77777777" w:rsidTr="006A12B1">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2D20A9D5" w:rsidR="00FC7B87" w:rsidRDefault="00FC7B87" w:rsidP="00FC7B87">
            <w:pPr>
              <w:keepLines/>
              <w:spacing w:before="40" w:after="40" w:line="190" w:lineRule="exact"/>
              <w:jc w:val="center"/>
              <w:rPr>
                <w:b/>
                <w:bCs/>
                <w:sz w:val="16"/>
                <w:szCs w:val="16"/>
              </w:rPr>
            </w:pPr>
            <w:r>
              <w:rPr>
                <w:b/>
                <w:bCs/>
                <w:sz w:val="16"/>
                <w:szCs w:val="16"/>
              </w:rPr>
              <w:lastRenderedPageBreak/>
              <w:t>4</w:t>
            </w:r>
          </w:p>
        </w:tc>
        <w:tc>
          <w:tcPr>
            <w:tcW w:w="1475" w:type="dxa"/>
            <w:tcBorders>
              <w:top w:val="single" w:sz="6" w:space="0" w:color="auto"/>
              <w:left w:val="single" w:sz="6" w:space="0" w:color="auto"/>
              <w:bottom w:val="single" w:sz="6" w:space="0" w:color="auto"/>
              <w:right w:val="single" w:sz="6" w:space="0" w:color="auto"/>
            </w:tcBorders>
          </w:tcPr>
          <w:p w14:paraId="34299B9C" w14:textId="3D4909F7" w:rsidR="00FC7B87" w:rsidRDefault="00FC7B87" w:rsidP="006A12B1">
            <w:pPr>
              <w:keepLines/>
              <w:spacing w:before="40" w:after="40" w:line="190" w:lineRule="exact"/>
              <w:jc w:val="left"/>
              <w:rPr>
                <w:b/>
                <w:bCs/>
                <w:sz w:val="16"/>
                <w:szCs w:val="16"/>
              </w:rPr>
            </w:pPr>
            <w:r w:rsidRPr="00D60779">
              <w:rPr>
                <w:b/>
                <w:bCs/>
                <w:sz w:val="16"/>
                <w:szCs w:val="16"/>
              </w:rPr>
              <w:t>Quantifying consumption</w:t>
            </w:r>
            <w:r>
              <w:rPr>
                <w:b/>
                <w:bCs/>
                <w:sz w:val="16"/>
                <w:szCs w:val="16"/>
              </w:rPr>
              <w:t xml:space="preserve"> (Para 3, page 27)</w:t>
            </w:r>
          </w:p>
        </w:tc>
        <w:tc>
          <w:tcPr>
            <w:tcW w:w="935" w:type="dxa"/>
            <w:tcBorders>
              <w:top w:val="single" w:sz="6" w:space="0" w:color="auto"/>
              <w:left w:val="single" w:sz="6" w:space="0" w:color="auto"/>
              <w:bottom w:val="single" w:sz="6" w:space="0" w:color="auto"/>
              <w:right w:val="single" w:sz="6" w:space="0" w:color="auto"/>
            </w:tcBorders>
          </w:tcPr>
          <w:p w14:paraId="3B4387B7" w14:textId="36102A10" w:rsidR="00FC7B87" w:rsidRDefault="00FC7B87" w:rsidP="00FC7B87">
            <w:pPr>
              <w:keepLines/>
              <w:spacing w:before="40" w:after="40" w:line="190" w:lineRule="exact"/>
              <w:jc w:val="center"/>
              <w:rPr>
                <w:b/>
                <w:bCs/>
                <w:sz w:val="16"/>
                <w:szCs w:val="16"/>
              </w:rPr>
            </w:pPr>
            <w:r>
              <w:rPr>
                <w:b/>
                <w:bCs/>
                <w:sz w:val="16"/>
                <w:szCs w:val="16"/>
              </w:rPr>
              <w:t>1</w:t>
            </w:r>
          </w:p>
        </w:tc>
        <w:tc>
          <w:tcPr>
            <w:tcW w:w="992" w:type="dxa"/>
            <w:tcBorders>
              <w:top w:val="single" w:sz="6" w:space="0" w:color="auto"/>
              <w:left w:val="single" w:sz="6" w:space="0" w:color="auto"/>
              <w:bottom w:val="single" w:sz="6" w:space="0" w:color="auto"/>
              <w:right w:val="single" w:sz="6" w:space="0" w:color="auto"/>
            </w:tcBorders>
          </w:tcPr>
          <w:p w14:paraId="28BA3B5E" w14:textId="6F04EAF0" w:rsidR="00FC7B87" w:rsidRDefault="006A12B1" w:rsidP="00FC7B87">
            <w:pPr>
              <w:keepLines/>
              <w:spacing w:before="40" w:after="40" w:line="190" w:lineRule="exact"/>
              <w:jc w:val="center"/>
              <w:rPr>
                <w:b/>
                <w:bCs/>
                <w:sz w:val="16"/>
                <w:szCs w:val="16"/>
              </w:rPr>
            </w:pPr>
            <w:r>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0B844E5B" w14:textId="6A74D892" w:rsidR="00FC7B87" w:rsidRDefault="00FC7B87" w:rsidP="00FC7B87">
            <w:pPr>
              <w:keepLines/>
              <w:spacing w:before="40" w:after="40" w:line="190" w:lineRule="exact"/>
              <w:jc w:val="left"/>
              <w:rPr>
                <w:b/>
                <w:bCs/>
                <w:sz w:val="16"/>
                <w:szCs w:val="16"/>
              </w:rPr>
            </w:pPr>
            <w:r w:rsidRPr="00975C91">
              <w:rPr>
                <w:b/>
                <w:bCs/>
                <w:sz w:val="16"/>
                <w:szCs w:val="16"/>
              </w:rPr>
              <w:t>The default value recommended by the UNFCCC for wood fuel projects, set at 0.4 tons of wood per capita</w:t>
            </w:r>
            <w:r>
              <w:rPr>
                <w:b/>
                <w:bCs/>
                <w:sz w:val="16"/>
                <w:szCs w:val="16"/>
              </w:rPr>
              <w:t xml:space="preserve"> p0er year</w:t>
            </w:r>
            <w:r w:rsidRPr="00975C91">
              <w:rPr>
                <w:b/>
                <w:bCs/>
                <w:sz w:val="16"/>
                <w:szCs w:val="16"/>
              </w:rPr>
              <w:t>, has been consistently applied in the entire simulation. However, it is important to note that both the Gold Standard threshold value and actual KPT data from numerous verified projects indicate that in traditional stoves, the value is considerably higher at 0.75 tons of wood per capita</w:t>
            </w:r>
            <w:r>
              <w:rPr>
                <w:b/>
                <w:bCs/>
                <w:sz w:val="16"/>
                <w:szCs w:val="16"/>
              </w:rPr>
              <w:t xml:space="preserve"> per year</w:t>
            </w:r>
            <w:r w:rsidRPr="00975C91">
              <w:rPr>
                <w:b/>
                <w:bCs/>
                <w:sz w:val="16"/>
                <w:szCs w:val="16"/>
              </w:rPr>
              <w:t>. Additionally, if we were to use the value of 0.4 tons of wood per capita, with a baseline stove efficiency of 15% and Improved Cook Stove (ICS) efficiency of 36.4%, the per capita wood consumption in ICS would be only 450 grams per capita per day. This figure is impractical given real-world circumstances.</w:t>
            </w:r>
          </w:p>
        </w:tc>
        <w:tc>
          <w:tcPr>
            <w:tcW w:w="4253" w:type="dxa"/>
            <w:tcBorders>
              <w:top w:val="single" w:sz="6" w:space="0" w:color="auto"/>
              <w:left w:val="single" w:sz="6" w:space="0" w:color="auto"/>
              <w:bottom w:val="single" w:sz="6" w:space="0" w:color="auto"/>
              <w:right w:val="single" w:sz="6" w:space="0" w:color="auto"/>
            </w:tcBorders>
          </w:tcPr>
          <w:p w14:paraId="6DBEBE4A" w14:textId="1FA54CBB" w:rsidR="00FC7B87" w:rsidRDefault="00FC7B87" w:rsidP="00FC7B87">
            <w:pPr>
              <w:keepLines/>
              <w:spacing w:before="40" w:after="40" w:line="190" w:lineRule="exact"/>
              <w:jc w:val="left"/>
              <w:rPr>
                <w:b/>
                <w:bCs/>
                <w:sz w:val="16"/>
                <w:szCs w:val="16"/>
              </w:rPr>
            </w:pPr>
            <w:r>
              <w:rPr>
                <w:b/>
                <w:bCs/>
                <w:sz w:val="16"/>
                <w:szCs w:val="16"/>
              </w:rPr>
              <w:t xml:space="preserve">A default value of </w:t>
            </w:r>
            <w:r w:rsidRPr="00975C91">
              <w:rPr>
                <w:b/>
                <w:bCs/>
                <w:sz w:val="16"/>
                <w:szCs w:val="16"/>
              </w:rPr>
              <w:t>0.75 tons of wood per capita</w:t>
            </w:r>
            <w:r>
              <w:rPr>
                <w:b/>
                <w:bCs/>
                <w:sz w:val="16"/>
                <w:szCs w:val="16"/>
              </w:rPr>
              <w:t xml:space="preserve"> per year must be considered and </w:t>
            </w:r>
            <w:proofErr w:type="spellStart"/>
            <w:r>
              <w:rPr>
                <w:b/>
                <w:bCs/>
                <w:sz w:val="16"/>
                <w:szCs w:val="16"/>
              </w:rPr>
              <w:t>fNRB</w:t>
            </w:r>
            <w:proofErr w:type="spellEnd"/>
            <w:r>
              <w:rPr>
                <w:b/>
                <w:bCs/>
                <w:sz w:val="16"/>
                <w:szCs w:val="16"/>
              </w:rPr>
              <w:t xml:space="preserve"> values must be recalculated.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FC7B87" w:rsidRDefault="00FC7B87" w:rsidP="00FC7B87">
            <w:pPr>
              <w:keepLines/>
              <w:spacing w:before="40" w:after="40" w:line="190" w:lineRule="exact"/>
              <w:jc w:val="center"/>
              <w:rPr>
                <w:b/>
                <w:bCs/>
                <w:sz w:val="16"/>
                <w:szCs w:val="16"/>
              </w:rPr>
            </w:pPr>
          </w:p>
        </w:tc>
      </w:tr>
      <w:tr w:rsidR="00FC7B87" w14:paraId="20DC6649" w14:textId="77777777" w:rsidTr="006A12B1">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5920244C" w:rsidR="00FC7B87" w:rsidRDefault="00FC7B87" w:rsidP="00FC7B87">
            <w:pPr>
              <w:keepLines/>
              <w:spacing w:before="40" w:after="40" w:line="190" w:lineRule="exact"/>
              <w:jc w:val="center"/>
              <w:rPr>
                <w:b/>
                <w:bCs/>
                <w:sz w:val="16"/>
                <w:szCs w:val="16"/>
              </w:rPr>
            </w:pPr>
            <w:r>
              <w:rPr>
                <w:b/>
                <w:bCs/>
                <w:sz w:val="16"/>
                <w:szCs w:val="16"/>
              </w:rPr>
              <w:t>5</w:t>
            </w:r>
          </w:p>
        </w:tc>
        <w:tc>
          <w:tcPr>
            <w:tcW w:w="1475" w:type="dxa"/>
            <w:tcBorders>
              <w:top w:val="single" w:sz="6" w:space="0" w:color="auto"/>
              <w:left w:val="single" w:sz="6" w:space="0" w:color="auto"/>
              <w:bottom w:val="single" w:sz="6" w:space="0" w:color="auto"/>
              <w:right w:val="single" w:sz="6" w:space="0" w:color="auto"/>
            </w:tcBorders>
          </w:tcPr>
          <w:p w14:paraId="2F3815E4" w14:textId="237D66CB" w:rsidR="00FC7B87" w:rsidRDefault="00FC7B87" w:rsidP="006A12B1">
            <w:pPr>
              <w:keepLines/>
              <w:spacing w:before="40" w:after="40" w:line="190" w:lineRule="exact"/>
              <w:jc w:val="left"/>
              <w:rPr>
                <w:b/>
                <w:bCs/>
                <w:sz w:val="16"/>
                <w:szCs w:val="16"/>
              </w:rPr>
            </w:pPr>
            <w:proofErr w:type="spellStart"/>
            <w:r w:rsidRPr="00D60779">
              <w:rPr>
                <w:b/>
                <w:bCs/>
                <w:sz w:val="16"/>
                <w:szCs w:val="16"/>
              </w:rPr>
              <w:t>fNRB</w:t>
            </w:r>
            <w:proofErr w:type="spellEnd"/>
            <w:r w:rsidRPr="00D60779">
              <w:rPr>
                <w:b/>
                <w:bCs/>
                <w:sz w:val="16"/>
                <w:szCs w:val="16"/>
              </w:rPr>
              <w:t xml:space="preserve"> assessment for other regions</w:t>
            </w:r>
            <w:r>
              <w:rPr>
                <w:b/>
                <w:bCs/>
                <w:sz w:val="16"/>
                <w:szCs w:val="16"/>
              </w:rPr>
              <w:t xml:space="preserve"> (page 57)</w:t>
            </w:r>
          </w:p>
        </w:tc>
        <w:tc>
          <w:tcPr>
            <w:tcW w:w="935" w:type="dxa"/>
            <w:tcBorders>
              <w:top w:val="single" w:sz="6" w:space="0" w:color="auto"/>
              <w:left w:val="single" w:sz="6" w:space="0" w:color="auto"/>
              <w:bottom w:val="single" w:sz="6" w:space="0" w:color="auto"/>
              <w:right w:val="single" w:sz="6" w:space="0" w:color="auto"/>
            </w:tcBorders>
          </w:tcPr>
          <w:p w14:paraId="15AC8CDE" w14:textId="77777777" w:rsidR="00FC7B87" w:rsidRDefault="00FC7B87" w:rsidP="00FC7B87">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17A4ED9A" w14:textId="20A654AA" w:rsidR="00FC7B87" w:rsidRDefault="006A12B1" w:rsidP="00FC7B87">
            <w:pPr>
              <w:keepLines/>
              <w:spacing w:before="40" w:after="40" w:line="190" w:lineRule="exact"/>
              <w:jc w:val="center"/>
              <w:rPr>
                <w:b/>
                <w:bCs/>
                <w:sz w:val="16"/>
                <w:szCs w:val="16"/>
              </w:rPr>
            </w:pPr>
            <w:r>
              <w:rPr>
                <w:b/>
                <w:bCs/>
                <w:sz w:val="16"/>
                <w:szCs w:val="16"/>
              </w:rPr>
              <w:t>te</w:t>
            </w:r>
          </w:p>
        </w:tc>
        <w:tc>
          <w:tcPr>
            <w:tcW w:w="4762" w:type="dxa"/>
            <w:tcBorders>
              <w:top w:val="single" w:sz="6" w:space="0" w:color="auto"/>
              <w:left w:val="single" w:sz="6" w:space="0" w:color="auto"/>
              <w:bottom w:val="single" w:sz="6" w:space="0" w:color="auto"/>
              <w:right w:val="single" w:sz="6" w:space="0" w:color="auto"/>
            </w:tcBorders>
          </w:tcPr>
          <w:p w14:paraId="2D3BF554" w14:textId="717217F2" w:rsidR="00FC7B87" w:rsidRDefault="00FC7B87" w:rsidP="00FC7B87">
            <w:pPr>
              <w:keepLines/>
              <w:spacing w:before="40" w:after="40" w:line="190" w:lineRule="exact"/>
              <w:jc w:val="left"/>
              <w:rPr>
                <w:b/>
                <w:bCs/>
                <w:sz w:val="16"/>
                <w:szCs w:val="16"/>
              </w:rPr>
            </w:pPr>
            <w:r w:rsidRPr="00D60779">
              <w:rPr>
                <w:b/>
                <w:bCs/>
                <w:sz w:val="16"/>
                <w:szCs w:val="16"/>
              </w:rPr>
              <w:t xml:space="preserve">The </w:t>
            </w:r>
            <w:proofErr w:type="spellStart"/>
            <w:r w:rsidRPr="00D60779">
              <w:rPr>
                <w:b/>
                <w:bCs/>
                <w:sz w:val="16"/>
                <w:szCs w:val="16"/>
              </w:rPr>
              <w:t>fNRB</w:t>
            </w:r>
            <w:proofErr w:type="spellEnd"/>
            <w:r w:rsidRPr="00D60779">
              <w:rPr>
                <w:b/>
                <w:bCs/>
                <w:sz w:val="16"/>
                <w:szCs w:val="16"/>
              </w:rPr>
              <w:t xml:space="preserve"> assessment for other regions appears to lack relevance, as it acknowledges that limitations in time and resources led to the calculation of values using a single pressure map based on 2010 demand, rather than employing annually updated maps and conducting multiple Monte Carlo simulations. This approach renders the calculated values unreliable and, therefore, they should not be included in the final report. Such inclusion could convey a negative message to potential investors, potentially discouraging their interest in supporting community projects such as cook stoves and water filters.</w:t>
            </w:r>
          </w:p>
        </w:tc>
        <w:tc>
          <w:tcPr>
            <w:tcW w:w="4253" w:type="dxa"/>
            <w:tcBorders>
              <w:top w:val="single" w:sz="6" w:space="0" w:color="auto"/>
              <w:left w:val="single" w:sz="6" w:space="0" w:color="auto"/>
              <w:bottom w:val="single" w:sz="6" w:space="0" w:color="auto"/>
              <w:right w:val="single" w:sz="6" w:space="0" w:color="auto"/>
            </w:tcBorders>
          </w:tcPr>
          <w:p w14:paraId="703F5CD2" w14:textId="410D9DB1" w:rsidR="00FC7B87" w:rsidRDefault="00FC7B87" w:rsidP="00FC7B87">
            <w:pPr>
              <w:keepLines/>
              <w:spacing w:before="40" w:after="40" w:line="190" w:lineRule="exact"/>
              <w:jc w:val="left"/>
              <w:rPr>
                <w:b/>
                <w:bCs/>
                <w:sz w:val="16"/>
                <w:szCs w:val="16"/>
              </w:rPr>
            </w:pPr>
            <w:proofErr w:type="spellStart"/>
            <w:r w:rsidRPr="00D60779">
              <w:rPr>
                <w:b/>
                <w:bCs/>
                <w:sz w:val="16"/>
                <w:szCs w:val="16"/>
              </w:rPr>
              <w:t>fNRB</w:t>
            </w:r>
            <w:proofErr w:type="spellEnd"/>
            <w:r w:rsidRPr="00D60779">
              <w:rPr>
                <w:b/>
                <w:bCs/>
                <w:sz w:val="16"/>
                <w:szCs w:val="16"/>
              </w:rPr>
              <w:t xml:space="preserve"> assessment for other regions</w:t>
            </w:r>
            <w:r>
              <w:rPr>
                <w:b/>
                <w:bCs/>
                <w:sz w:val="16"/>
                <w:szCs w:val="16"/>
              </w:rPr>
              <w:t xml:space="preserve"> shall be removed from the final document.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FC7B87" w:rsidRDefault="00FC7B87" w:rsidP="00FC7B87">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75BB" w14:textId="77777777" w:rsidR="007B490A" w:rsidRDefault="007B490A" w:rsidP="00DF4F6B">
      <w:r>
        <w:separator/>
      </w:r>
    </w:p>
  </w:endnote>
  <w:endnote w:type="continuationSeparator" w:id="0">
    <w:p w14:paraId="54738D31" w14:textId="77777777" w:rsidR="007B490A" w:rsidRDefault="007B490A"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4DB2" w14:textId="77777777" w:rsidR="007B490A" w:rsidRDefault="007B490A" w:rsidP="00DF4F6B">
      <w:r>
        <w:separator/>
      </w:r>
    </w:p>
  </w:footnote>
  <w:footnote w:type="continuationSeparator" w:id="0">
    <w:p w14:paraId="0BD82537" w14:textId="77777777" w:rsidR="007B490A" w:rsidRDefault="007B490A"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47587368" w:rsidR="00F37030" w:rsidRPr="00777AC5" w:rsidRDefault="00F37030">
          <w:pPr>
            <w:pStyle w:val="ISOChange"/>
            <w:spacing w:before="60" w:after="60"/>
            <w:rPr>
              <w:b/>
              <w:sz w:val="22"/>
            </w:rPr>
          </w:pPr>
          <w:r w:rsidRPr="00777AC5">
            <w:rPr>
              <w:b/>
              <w:sz w:val="22"/>
            </w:rPr>
            <w:t xml:space="preserve">Date: </w:t>
          </w:r>
          <w:r w:rsidR="00645108">
            <w:rPr>
              <w:b/>
              <w:sz w:val="22"/>
            </w:rPr>
            <w:t>09/11/2023</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1D0F91"/>
    <w:rsid w:val="001E3876"/>
    <w:rsid w:val="002F135C"/>
    <w:rsid w:val="00366FD7"/>
    <w:rsid w:val="00405FB3"/>
    <w:rsid w:val="004248BD"/>
    <w:rsid w:val="00450EEA"/>
    <w:rsid w:val="00472C3C"/>
    <w:rsid w:val="005242C9"/>
    <w:rsid w:val="005A256D"/>
    <w:rsid w:val="005B1074"/>
    <w:rsid w:val="00645108"/>
    <w:rsid w:val="006A12B1"/>
    <w:rsid w:val="006B7520"/>
    <w:rsid w:val="006D0849"/>
    <w:rsid w:val="006F32C1"/>
    <w:rsid w:val="00777AC5"/>
    <w:rsid w:val="007B490A"/>
    <w:rsid w:val="007D6248"/>
    <w:rsid w:val="00841D26"/>
    <w:rsid w:val="00863150"/>
    <w:rsid w:val="009177A1"/>
    <w:rsid w:val="00981D31"/>
    <w:rsid w:val="009D0F11"/>
    <w:rsid w:val="009E2FBD"/>
    <w:rsid w:val="009F61CD"/>
    <w:rsid w:val="00A13B92"/>
    <w:rsid w:val="00B3792D"/>
    <w:rsid w:val="00C33E85"/>
    <w:rsid w:val="00C408D1"/>
    <w:rsid w:val="00C630BD"/>
    <w:rsid w:val="00CC0EB7"/>
    <w:rsid w:val="00D131BD"/>
    <w:rsid w:val="00D36C4F"/>
    <w:rsid w:val="00D6268F"/>
    <w:rsid w:val="00DF4E03"/>
    <w:rsid w:val="00DF4F6B"/>
    <w:rsid w:val="00E60C4A"/>
    <w:rsid w:val="00EE5FD1"/>
    <w:rsid w:val="00F27817"/>
    <w:rsid w:val="00F37030"/>
    <w:rsid w:val="00F65050"/>
    <w:rsid w:val="00FC7B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Rajib Pramanik</cp:lastModifiedBy>
  <cp:revision>3</cp:revision>
  <cp:lastPrinted>2001-10-25T12:04:00Z</cp:lastPrinted>
  <dcterms:created xsi:type="dcterms:W3CDTF">2023-11-09T14:09:00Z</dcterms:created>
  <dcterms:modified xsi:type="dcterms:W3CDTF">2023-11-09T14:10:00Z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