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074" w:rsidP="005B1074" w:rsidRDefault="00777AC5" w14:paraId="424E4AFD" w14:textId="77777777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:rsidR="00E60C4A" w:rsidP="00E60C4A" w:rsidRDefault="00E60C4A" w14:paraId="509F9590" w14:textId="4B227A7C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="00377F9D">
        <w:t>Arnaud Dore</w:t>
      </w:r>
    </w:p>
    <w:p w:rsidR="00E60C4A" w:rsidP="00E60C4A" w:rsidRDefault="00E60C4A" w14:paraId="1539A45C" w14:textId="690F58D1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 xml:space="preserve">: </w:t>
      </w:r>
      <w:r w:rsidR="00377F9D">
        <w:t>Imperative Global</w:t>
      </w:r>
    </w:p>
    <w:p w:rsidRPr="007F243D" w:rsidR="00E60C4A" w:rsidP="00E60C4A" w:rsidRDefault="00E60C4A" w14:paraId="5F63183D" w14:textId="31EC001D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hyperlink w:history="1" r:id="rId10">
        <w:r w:rsidRPr="00FD73EF" w:rsidR="00377F9D">
          <w:rPr>
            <w:rStyle w:val="Hyperlink"/>
          </w:rPr>
          <w:t>arnaud.dore@imperativeinc.com</w:t>
        </w:r>
      </w:hyperlink>
      <w:r w:rsidR="00377F9D">
        <w:t xml:space="preserve"> </w:t>
      </w:r>
    </w:p>
    <w:p w:rsidRPr="00035035" w:rsidR="005B1074" w:rsidP="005B1074" w:rsidRDefault="005B1074" w14:paraId="77A5CC8D" w14:textId="77777777"/>
    <w:p w:rsidR="00DF4F6B" w:rsidRDefault="00DF4F6B" w14:paraId="2EA528BF" w14:textId="77777777">
      <w:pPr>
        <w:spacing w:line="240" w:lineRule="exact"/>
      </w:pPr>
    </w:p>
    <w:tbl>
      <w:tblPr>
        <w:tblW w:w="153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:rsidTr="3AD2E61E" w14:paraId="44974AB3" w14:textId="77777777">
        <w:trPr>
          <w:cantSplit/>
          <w:tblHeader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863150" w14:paraId="1118F40B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863150" w14:paraId="0556F682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863150" w14:paraId="743B88A7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863150" w14:paraId="2AF66E0C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863150" w14:paraId="4AE8941B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863150" w14:paraId="5786B02A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65212BB9" w14:textId="77777777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:rsidTr="3AD2E61E" w14:paraId="48486F42" w14:textId="77777777">
        <w:trPr>
          <w:cantSplit/>
          <w:tblHeader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7B197D7B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:rsidR="00863150" w:rsidP="005242C9" w:rsidRDefault="00863150" w14:paraId="1BEFCA54" w14:textId="7777777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5931A8B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No./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Annex / Figure / Table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612186A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5E36EA1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:rsidR="00863150" w:rsidRDefault="00863150" w14:paraId="7BC03EA3" w14:textId="77777777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:rsidR="00863150" w:rsidRDefault="00863150" w14:paraId="192FE6D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5DB73758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:rsidR="00863150" w:rsidRDefault="00863150" w14:paraId="58D30D20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33AB5C8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:rsidR="00863150" w:rsidRDefault="00863150" w14:paraId="5009104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P="005A256D" w:rsidRDefault="00863150" w14:paraId="06C1D227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:rsidR="00863150" w:rsidP="005A256D" w:rsidRDefault="00863150" w14:paraId="54A7E6A7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:rsidTr="3AD2E61E" w14:paraId="1DABCE09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377F9D" w14:paraId="1DE1019C" w14:textId="0285F1FF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C46361" w:rsidRDefault="00C46361" w14:paraId="139CF44D" w14:textId="7777777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Page 25, </w:t>
            </w:r>
          </w:p>
          <w:p w:rsidR="00863150" w:rsidP="00C46361" w:rsidRDefault="00167618" w14:paraId="5C076DD9" w14:textId="0BECB9B4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Section: </w:t>
            </w:r>
            <w:r w:rsidR="00C46361">
              <w:rPr>
                <w:b/>
                <w:bCs/>
                <w:sz w:val="16"/>
                <w:szCs w:val="16"/>
              </w:rPr>
              <w:t>Residential and other sectors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C46361" w14:paraId="240E162B" w14:textId="05FC032C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377F9D" w14:paraId="4B753E85" w14:textId="083B263F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Technical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3A0987" w:rsidP="00377F9D" w:rsidRDefault="00377F9D" w14:paraId="106C4472" w14:textId="6BFC73A9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The current f</w:t>
            </w:r>
            <w:r w:rsidRPr="00674B67">
              <w:rPr>
                <w:rFonts w:ascii="Calibri" w:hAnsi="Calibri" w:eastAsia="Calibri" w:cs="Calibri"/>
                <w:color w:val="000000" w:themeColor="text1"/>
                <w:vertAlign w:val="subscript"/>
                <w:lang w:val="en-US"/>
              </w:rPr>
              <w:t>NRB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model focuses primarily on residential wood fuel demand and does not consider wood fuel consumption in commercial or industrial establishments (like brick manufacturing, beer brewing, etc.). </w:t>
            </w:r>
            <w:r w:rsidR="00E8172F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In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field</w:t>
            </w:r>
            <w:r w:rsidR="00520C5F">
              <w:rPr>
                <w:rFonts w:ascii="Calibri" w:hAnsi="Calibri" w:eastAsia="Calibri" w:cs="Calibri"/>
                <w:color w:val="000000" w:themeColor="text1"/>
                <w:lang w:val="en-US"/>
              </w:rPr>
              <w:t>,</w:t>
            </w:r>
            <w:r w:rsidR="00E8172F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we have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experience that </w:t>
            </w:r>
            <w:r w:rsidR="003A0987">
              <w:rPr>
                <w:rFonts w:ascii="Calibri" w:hAnsi="Calibri" w:eastAsia="Calibri" w:cs="Calibri"/>
                <w:color w:val="000000" w:themeColor="text1"/>
                <w:lang w:val="en-US"/>
              </w:rPr>
              <w:t>households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also use wood fuel for brewing alcohol and the wood fuel consumption for brewing alcohol is </w:t>
            </w:r>
            <w:r w:rsidR="00520C5F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quite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more than their </w:t>
            </w:r>
            <w:r w:rsidR="00596EE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monthly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residential consumption e.g., in Hill region in Nepal. </w:t>
            </w:r>
          </w:p>
          <w:p w:rsidR="003A0987" w:rsidP="00377F9D" w:rsidRDefault="003A0987" w14:paraId="6F05D296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Pr="00377F9D" w:rsidR="00863150" w:rsidP="00377F9D" w:rsidRDefault="00377F9D" w14:paraId="6BEC586B" w14:textId="486431BE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Further, </w:t>
            </w:r>
            <w:r w:rsidR="00B855C2">
              <w:rPr>
                <w:rFonts w:ascii="Calibri" w:hAnsi="Calibri" w:eastAsia="Calibri" w:cs="Calibri"/>
                <w:color w:val="000000" w:themeColor="text1"/>
                <w:lang w:val="en-US"/>
              </w:rPr>
              <w:t>wood fuel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is </w:t>
            </w:r>
            <w:r w:rsidR="003A0987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also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consumed </w:t>
            </w:r>
            <w:r w:rsidR="00C53EF6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at some extent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in industries like brick manufacturing in country like Nepal, India etc. If we </w:t>
            </w:r>
            <w:r w:rsidR="00C53EF6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also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refer to </w:t>
            </w:r>
            <w:r w:rsidR="00C53EF6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CDM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Tool 30 as well, it has provision to account for wood fuel consumption for energy and non-energy commercial applications.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P="00377F9D" w:rsidRDefault="00C53EF6" w14:paraId="6508F47C" w14:textId="4E12031B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</w:t>
            </w:r>
            <w:r w:rsidRPr="00C53EF6">
              <w:rPr>
                <w:b/>
                <w:bCs/>
                <w:sz w:val="16"/>
                <w:szCs w:val="16"/>
                <w:lang w:val="en-US"/>
              </w:rPr>
              <w:t>trongly recommend to account for wood fuel use in commercial and industrial activities especially for South Asian countries.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23981D6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:rsidTr="3AD2E61E" w14:paraId="7BCB2812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377F9D" w14:paraId="630BE0CC" w14:textId="67A17683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466D82" w:rsidRDefault="00466D82" w14:paraId="060226D2" w14:textId="13F01CED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S.No. 3, Page 27</w:t>
            </w:r>
          </w:p>
          <w:p w:rsidR="00863150" w:rsidP="00466D82" w:rsidRDefault="00167618" w14:paraId="59BBCE6B" w14:textId="1B97FBB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Section: </w:t>
            </w:r>
            <w:r w:rsidR="00C46361">
              <w:rPr>
                <w:b/>
                <w:bCs/>
                <w:sz w:val="16"/>
                <w:szCs w:val="16"/>
              </w:rPr>
              <w:t>Quantifying consumption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C46361" w14:paraId="14EAD6AF" w14:textId="4D46AFCE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RDefault="00377F9D" w14:paraId="103ABC10" w14:textId="729E83A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Technical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E00BA" w:rsidP="00377F9D" w:rsidRDefault="00377F9D" w14:paraId="5838008A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In the current f</w:t>
            </w:r>
            <w:r w:rsidRPr="005E00BA">
              <w:rPr>
                <w:rFonts w:ascii="Calibri" w:hAnsi="Calibri" w:eastAsia="Calibri" w:cs="Calibri"/>
                <w:color w:val="000000" w:themeColor="text1"/>
                <w:vertAlign w:val="subscript"/>
                <w:lang w:val="en-US"/>
              </w:rPr>
              <w:t>NRB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model, the default </w:t>
            </w:r>
            <w:r w:rsidR="00B855C2">
              <w:rPr>
                <w:rFonts w:ascii="Calibri" w:hAnsi="Calibri" w:eastAsia="Calibri" w:cs="Calibri"/>
                <w:color w:val="000000" w:themeColor="text1"/>
                <w:lang w:val="en-US"/>
              </w:rPr>
              <w:t>wood fuel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consumption per person per year is considered as 0.4 tons (as recommended by UNFCCC) for all the countries and regions. </w:t>
            </w:r>
          </w:p>
          <w:p w:rsidR="005E00BA" w:rsidP="00377F9D" w:rsidRDefault="005E00BA" w14:paraId="102C5186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00D9565F" w:rsidP="00377F9D" w:rsidRDefault="00377F9D" w14:paraId="1191911F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If we refer to GS TPDDTEC ver 4.0 methodology, it allows </w:t>
            </w:r>
            <w:r w:rsidR="00B855C2">
              <w:rPr>
                <w:rFonts w:ascii="Calibri" w:hAnsi="Calibri" w:eastAsia="Calibri" w:cs="Calibri"/>
                <w:color w:val="000000" w:themeColor="text1"/>
                <w:lang w:val="en-US"/>
              </w:rPr>
              <w:t>wood fuel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consumption value up to 0.95 tons/capita/year. </w:t>
            </w:r>
          </w:p>
          <w:p w:rsidR="00D9565F" w:rsidP="00377F9D" w:rsidRDefault="00D9565F" w14:paraId="785658E1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Pr="00377F9D" w:rsidR="00863150" w:rsidP="00377F9D" w:rsidRDefault="00377F9D" w14:paraId="384D660A" w14:textId="1D9EFD7D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Further GS meth also allows Project Developer to conduct Kitchen Performance Tests to estimate baseline </w:t>
            </w:r>
            <w:r w:rsidR="00B855C2">
              <w:rPr>
                <w:rFonts w:ascii="Calibri" w:hAnsi="Calibri" w:eastAsia="Calibri" w:cs="Calibri"/>
                <w:color w:val="000000" w:themeColor="text1"/>
                <w:lang w:val="en-US"/>
              </w:rPr>
              <w:t>wood fuel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consumption in the project area</w:t>
            </w:r>
            <w:r w:rsidR="00D9565F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.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</w:t>
            </w:r>
            <w:r w:rsidR="00744520">
              <w:rPr>
                <w:rFonts w:ascii="Calibri" w:hAnsi="Calibri" w:eastAsia="Calibri" w:cs="Calibri"/>
                <w:color w:val="000000" w:themeColor="text1"/>
                <w:lang w:val="en-US"/>
              </w:rPr>
              <w:t>H</w:t>
            </w:r>
            <w:r w:rsidRPr="00377F9D" w:rsidR="00744520">
              <w:rPr>
                <w:rFonts w:ascii="Calibri" w:hAnsi="Calibri" w:eastAsia="Calibri" w:cs="Calibri"/>
                <w:color w:val="000000" w:themeColor="text1"/>
                <w:lang w:val="en-US"/>
              </w:rPr>
              <w:t>ence,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we understand that using the baseline wood fuel consumption value derived from field test</w:t>
            </w:r>
            <w:r w:rsidR="00744520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(KPT)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in f</w:t>
            </w:r>
            <w:r w:rsidRPr="00744520">
              <w:rPr>
                <w:rFonts w:ascii="Calibri" w:hAnsi="Calibri" w:eastAsia="Calibri" w:cs="Calibri"/>
                <w:color w:val="000000" w:themeColor="text1"/>
                <w:vertAlign w:val="subscript"/>
                <w:lang w:val="en-US"/>
              </w:rPr>
              <w:t xml:space="preserve">NRB 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calculation will give more exact project location specific fNRB value in place of using defaults value for all the region and countries. 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63150" w:rsidP="002253D9" w:rsidRDefault="002253D9" w14:paraId="0C505844" w14:textId="09F781B4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Reconsider the </w:t>
            </w:r>
            <w:r w:rsidR="00B855C2">
              <w:rPr>
                <w:b/>
                <w:bCs/>
                <w:sz w:val="16"/>
                <w:szCs w:val="16"/>
              </w:rPr>
              <w:t>wood fuel</w:t>
            </w:r>
            <w:r>
              <w:rPr>
                <w:b/>
                <w:bCs/>
                <w:sz w:val="16"/>
                <w:szCs w:val="16"/>
              </w:rPr>
              <w:t xml:space="preserve"> consumption per person per year. </w:t>
            </w:r>
            <w:r w:rsidR="004D6E6D">
              <w:rPr>
                <w:b/>
                <w:bCs/>
                <w:sz w:val="16"/>
                <w:szCs w:val="16"/>
              </w:rPr>
              <w:t xml:space="preserve">Also, allow Project Developer to use </w:t>
            </w:r>
            <w:r w:rsidR="002567BC">
              <w:rPr>
                <w:b/>
                <w:bCs/>
                <w:sz w:val="16"/>
                <w:szCs w:val="16"/>
              </w:rPr>
              <w:t xml:space="preserve">baseline KPT </w:t>
            </w:r>
            <w:r w:rsidR="007513DD">
              <w:rPr>
                <w:b/>
                <w:bCs/>
                <w:sz w:val="16"/>
                <w:szCs w:val="16"/>
              </w:rPr>
              <w:t xml:space="preserve">value </w:t>
            </w:r>
            <w:r w:rsidR="00E914D0">
              <w:rPr>
                <w:b/>
                <w:bCs/>
                <w:sz w:val="16"/>
                <w:szCs w:val="16"/>
              </w:rPr>
              <w:t xml:space="preserve">in fNRB estimation </w:t>
            </w:r>
            <w:r w:rsidR="007513DD">
              <w:rPr>
                <w:b/>
                <w:bCs/>
                <w:sz w:val="16"/>
                <w:szCs w:val="16"/>
              </w:rPr>
              <w:t xml:space="preserve">instead of default </w:t>
            </w:r>
            <w:r w:rsidR="00E914D0">
              <w:rPr>
                <w:b/>
                <w:bCs/>
                <w:sz w:val="16"/>
                <w:szCs w:val="16"/>
              </w:rPr>
              <w:t>wood fuel</w:t>
            </w:r>
            <w:r w:rsidR="007513DD">
              <w:rPr>
                <w:b/>
                <w:bCs/>
                <w:sz w:val="16"/>
                <w:szCs w:val="16"/>
              </w:rPr>
              <w:t xml:space="preserve"> consumption. 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863150" w:rsidRDefault="00863150" w14:paraId="0156D8E3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6361" w:rsidTr="3AD2E61E" w14:paraId="65EF4BD4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46361" w:rsidP="00C46361" w:rsidRDefault="00167618" w14:paraId="67CAA5F6" w14:textId="2716FDB8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C46361" w:rsidRDefault="00C46361" w14:paraId="73BAF34E" w14:textId="7777777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Page 39, </w:t>
            </w:r>
          </w:p>
          <w:p w:rsidR="00C46361" w:rsidP="00C46361" w:rsidRDefault="00167618" w14:paraId="644DAB47" w14:textId="6614EB1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Section: </w:t>
            </w:r>
            <w:r w:rsidR="00C46361">
              <w:rPr>
                <w:b/>
                <w:bCs/>
                <w:sz w:val="16"/>
                <w:szCs w:val="16"/>
              </w:rPr>
              <w:t>Updated fNRB values for Sub-Saharan African countries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46361" w:rsidP="00C46361" w:rsidRDefault="00C46361" w14:paraId="12B0A5A0" w14:textId="1F6AFDA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5-7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46361" w:rsidP="00C46361" w:rsidRDefault="00C46361" w14:paraId="1DCEB502" w14:textId="66913FB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8A3AA6" w:rsidP="00C46361" w:rsidRDefault="00C46361" w14:paraId="3F6A4230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What will be the validity period of these f</w:t>
            </w:r>
            <w:r w:rsidRPr="00E914D0">
              <w:rPr>
                <w:rFonts w:ascii="Calibri" w:hAnsi="Calibri" w:eastAsia="Calibri" w:cs="Calibri"/>
                <w:color w:val="000000" w:themeColor="text1"/>
                <w:vertAlign w:val="subscript"/>
                <w:lang w:val="en-US"/>
              </w:rPr>
              <w:t>NRB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values, on</w:t>
            </w:r>
            <w:r w:rsidR="008A3AA6">
              <w:rPr>
                <w:rFonts w:ascii="Calibri" w:hAnsi="Calibri" w:eastAsia="Calibri" w:cs="Calibri"/>
                <w:color w:val="000000" w:themeColor="text1"/>
                <w:lang w:val="en-US"/>
              </w:rPr>
              <w:t>c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e approved and came into force. </w:t>
            </w:r>
          </w:p>
          <w:p w:rsidR="008A3AA6" w:rsidP="00C46361" w:rsidRDefault="008A3AA6" w14:paraId="63240940" w14:textId="7777777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Pr="00377F9D" w:rsidR="00C46361" w:rsidP="00C46361" w:rsidRDefault="00C46361" w14:paraId="1E02C4F3" w14:textId="6A79F11E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Our understanding is that the information note presents the f</w:t>
            </w:r>
            <w:r w:rsidRPr="008A3AA6">
              <w:rPr>
                <w:rFonts w:ascii="Calibri" w:hAnsi="Calibri" w:eastAsia="Calibri" w:cs="Calibri"/>
                <w:color w:val="000000" w:themeColor="text1"/>
                <w:vertAlign w:val="subscript"/>
                <w:lang w:val="en-US"/>
              </w:rPr>
              <w:t>NRB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results for the period 2020-2030. Will the current fNRB value remain valid up to 2030? Please confirm?</w:t>
            </w:r>
            <w:r w:rsidRPr="00377F9D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46361" w:rsidP="00C46361" w:rsidRDefault="00C46361" w14:paraId="6B4A7318" w14:textId="34C3898F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Confirm the validity of the </w:t>
            </w:r>
            <w:r w:rsidR="00167618">
              <w:rPr>
                <w:b/>
                <w:bCs/>
                <w:sz w:val="16"/>
                <w:szCs w:val="16"/>
              </w:rPr>
              <w:t>fNRB values</w:t>
            </w:r>
            <w:r w:rsidR="00F4772C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C46361" w:rsidP="00C46361" w:rsidRDefault="00C46361" w14:paraId="222E513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76DF855D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C57FA3A" w14:textId="63E2413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F824986" w14:textId="7777777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Page 23, </w:t>
            </w:r>
          </w:p>
          <w:p w:rsidR="00167618" w:rsidP="00167618" w:rsidRDefault="00167618" w14:paraId="26272B9C" w14:textId="575C003F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Section: Biomass growth function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7C0BD6A" w14:textId="75B7BD8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82F58C2" w14:textId="7AB13CB4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77F9D" w:rsidR="00167618" w:rsidP="00167618" w:rsidRDefault="00167618" w14:paraId="5B6CEEBB" w14:textId="71A05E9B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3AD2E61E" w:rsidR="00167618"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  <w:t xml:space="preserve">Page 23 of the information notes states </w:t>
            </w:r>
            <w:r w:rsidRPr="3AD2E61E" w:rsidR="0016761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US"/>
              </w:rPr>
              <w:t xml:space="preserve">“Therefore our simulations would be overestimating regrowth and underestimating </w:t>
            </w:r>
            <w:r w:rsidRPr="3AD2E61E" w:rsidR="0016761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US"/>
              </w:rPr>
              <w:t>fNRB</w:t>
            </w:r>
            <w:r w:rsidRPr="3AD2E61E" w:rsidR="00167618"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  <w:t xml:space="preserve">”. How </w:t>
            </w:r>
            <w:r w:rsidRPr="3AD2E61E" w:rsidR="1786EF2A"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  <w:t>will this</w:t>
            </w:r>
            <w:r w:rsidRPr="3AD2E61E" w:rsidR="00167618"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  <w:t xml:space="preserve"> be justified</w:t>
            </w:r>
            <w:r w:rsidRPr="3AD2E61E" w:rsidR="399A7388">
              <w:rPr>
                <w:rFonts w:ascii="Calibri" w:hAnsi="Calibri" w:eastAsia="Calibri" w:cs="Calibri"/>
                <w:color w:val="000000" w:themeColor="text1" w:themeTint="FF" w:themeShade="FF"/>
                <w:lang w:val="en-US"/>
              </w:rPr>
              <w:t>?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DE6C09" w:rsidRDefault="00167618" w14:paraId="7D0F571E" w14:textId="5BA597DC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508E1C4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1DD2AA5D" w14:textId="77777777">
        <w:trPr>
          <w:cantSplit/>
          <w:trHeight w:val="984"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BCD2FCE" w14:textId="6E61DF2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570667" w:rsidRDefault="00167618" w14:paraId="49AFBB31" w14:textId="64A6D296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5AD19F8" w14:textId="0B63C3C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CCA30C3" w14:textId="4C45B3BF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253D9" w:rsidR="00167618" w:rsidP="00167618" w:rsidRDefault="5D7DDD7A" w14:paraId="43BD7172" w14:textId="7C1E2B4E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828B677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Is there any validation and verification process for the estimated fNRB values? Are these values </w:t>
            </w:r>
            <w:r w:rsidR="000B4A98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will also be </w:t>
            </w:r>
            <w:r w:rsidRPr="0828B677" w:rsidR="456E604F">
              <w:rPr>
                <w:rFonts w:ascii="Calibri" w:hAnsi="Calibri" w:eastAsia="Calibri" w:cs="Calibri"/>
                <w:color w:val="000000" w:themeColor="text1"/>
                <w:lang w:val="en-US"/>
              </w:rPr>
              <w:t>validated</w:t>
            </w:r>
            <w:r w:rsidRPr="0828B677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and </w:t>
            </w:r>
            <w:r w:rsidRPr="0828B677" w:rsidR="64607CA5">
              <w:rPr>
                <w:rFonts w:ascii="Calibri" w:hAnsi="Calibri" w:eastAsia="Calibri" w:cs="Calibri"/>
                <w:color w:val="000000" w:themeColor="text1"/>
                <w:lang w:val="en-US"/>
              </w:rPr>
              <w:t>verified</w:t>
            </w:r>
            <w:r w:rsidRPr="0828B677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by some external agency / consultant apart from UN Meth </w:t>
            </w:r>
            <w:r w:rsidRPr="0828B677" w:rsidR="5659FD3B">
              <w:rPr>
                <w:rFonts w:ascii="Calibri" w:hAnsi="Calibri" w:eastAsia="Calibri" w:cs="Calibri"/>
                <w:color w:val="000000" w:themeColor="text1"/>
                <w:lang w:val="en-US"/>
              </w:rPr>
              <w:t>Panel?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DE6C09" w:rsidRDefault="00167618" w14:paraId="55B5FCA0" w14:textId="6A18A53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41A97AA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20DC6649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045C234" w14:textId="1EA3754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570667" w:rsidRDefault="00167618" w14:paraId="2F3815E4" w14:textId="38A2FDFD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5AC8CDE" w14:textId="559971F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7A4ED9A" w14:textId="6091D50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253D9" w:rsidR="00167618" w:rsidP="00167618" w:rsidRDefault="00167618" w14:paraId="2D3BF554" w14:textId="3F7AA585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Is there any tentative timeline when the f</w:t>
            </w:r>
            <w:r w:rsidRPr="000B4A98">
              <w:rPr>
                <w:rFonts w:ascii="Calibri" w:hAnsi="Calibri" w:eastAsia="Calibri" w:cs="Calibri"/>
                <w:color w:val="000000" w:themeColor="text1"/>
                <w:vertAlign w:val="subscript"/>
                <w:lang w:val="en-US"/>
              </w:rPr>
              <w:t>NRB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value for the remaining countries/regions will be available</w:t>
            </w:r>
            <w:r w:rsidR="000B4A98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 for Project Developer</w:t>
            </w:r>
            <w:r w:rsidRPr="00377F9D">
              <w:rPr>
                <w:rFonts w:ascii="Calibri" w:hAnsi="Calibri" w:eastAsia="Calibri" w:cs="Calibri"/>
                <w:color w:val="000000" w:themeColor="text1"/>
                <w:lang w:val="en-US"/>
              </w:rPr>
              <w:t>?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DE6C09" w:rsidRDefault="00167618" w14:paraId="703F5CD2" w14:textId="0821B8C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49D8E52A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0554E67B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24CB2D2" w14:textId="585B058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374F3E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8BD1DE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A305FCF" w14:textId="0B8715C6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CD879F2" w14:textId="7777777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67CAE20C" w14:textId="50E5660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6D4EDBD8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0E02DDEE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51ABDA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DEA4F4B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0F0966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8C618E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2B60D97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D34321F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3673A80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5C9827B7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F08B9D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CCD764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613F0BC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AB2F16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DE3299F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EC09D9E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5E6B7C9B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68B3B5E7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438766A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5239FAB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2B130D3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2AACFFE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DFA05BC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BBADB8E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2A85C3C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27BA32EE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156433F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55EAA0A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BAE3FE3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6D5C3D9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1C75A9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7EBF96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12CB990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7E97068E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D408D5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07ACA8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1B9407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AE9F1E3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BF16C3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7D0DF7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031959CF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3B9D658A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2E363D0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6878CE18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D875D03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D083B5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FD87CC0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F36A1EC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2DEEC23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40B8270E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04D236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A539F60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515FCDF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792A61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FF9B6B7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9E34A77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1FACBC1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62E5AA74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3BF0B1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031A5F3C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5C4327A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2D1363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F196F7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6DD5E46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41A7F16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335D5762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FC9056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DE0EB0C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8A63920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BEA4D93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6AEEF25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40194A1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253D150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48714BC3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EEE2544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118734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120C2366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6B6AC09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58F2C702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4C98DBC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734F68B8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67618" w:rsidTr="3AD2E61E" w14:paraId="1E6174E2" w14:textId="77777777">
        <w:trPr>
          <w:cantSplit/>
          <w:jc w:val="center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D74477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0E76379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37DFE35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2322286D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7075959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67618" w:rsidP="00167618" w:rsidRDefault="00167618" w14:paraId="69F7CFD0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tcMar/>
          </w:tcPr>
          <w:p w:rsidR="00167618" w:rsidP="00167618" w:rsidRDefault="00167618" w14:paraId="62EC4D61" w14:textId="7777777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F4F6B" w:rsidRDefault="00DF4F6B" w14:paraId="1BCDB222" w14:textId="77777777">
      <w:pPr>
        <w:spacing w:line="240" w:lineRule="exact"/>
      </w:pPr>
    </w:p>
    <w:sectPr w:rsidR="00DF4F6B">
      <w:headerReference w:type="default" r:id="rId11"/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129" w:rsidP="00DF4F6B" w:rsidRDefault="00066129" w14:paraId="61E787B3" w14:textId="77777777">
      <w:r>
        <w:separator/>
      </w:r>
    </w:p>
  </w:endnote>
  <w:endnote w:type="continuationSeparator" w:id="0">
    <w:p w:rsidR="00066129" w:rsidP="00DF4F6B" w:rsidRDefault="00066129" w14:paraId="65878F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7030" w:rsidP="009E2FBD" w:rsidRDefault="00F37030" w14:paraId="79FBD56D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7030" w:rsidP="00DF4E03" w:rsidRDefault="00F37030" w14:paraId="4D37A5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7030" w:rsidP="009E2FBD" w:rsidRDefault="00F37030" w14:paraId="6551247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7030" w:rsidP="00DF4E03" w:rsidRDefault="00F37030" w14:paraId="74F18954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129" w:rsidP="00DF4F6B" w:rsidRDefault="00066129" w14:paraId="2E19D00B" w14:textId="77777777">
      <w:r>
        <w:separator/>
      </w:r>
    </w:p>
  </w:footnote>
  <w:footnote w:type="continuationSeparator" w:id="0">
    <w:p w:rsidR="00066129" w:rsidP="00DF4F6B" w:rsidRDefault="00066129" w14:paraId="052E0C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V w:val="single" w:color="auto" w:sz="6" w:space="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F37030" w:rsidRDefault="00F37030" w14:paraId="643D2012" w14:textId="77777777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</w:tcPr>
        <w:p w:rsidRPr="00777AC5" w:rsidR="00F37030" w:rsidRDefault="00F37030" w14:paraId="18044243" w14:textId="14BF1BB4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  <w:r w:rsidR="00377F9D">
            <w:rPr>
              <w:b/>
              <w:sz w:val="22"/>
            </w:rPr>
            <w:t>06/11/2023</w:t>
          </w:r>
        </w:p>
      </w:tc>
      <w:tc>
        <w:tcPr>
          <w:tcW w:w="4521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</w:tcPr>
        <w:p w:rsidR="00F37030" w:rsidRDefault="00F37030" w14:paraId="766EB125" w14:textId="77777777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:rsidR="00F37030" w:rsidRDefault="00F37030" w14:paraId="73EC5CC6" w14:textId="77777777">
    <w:pPr>
      <w:pStyle w:val="Header"/>
    </w:pPr>
  </w:p>
  <w:p w:rsidR="00F37030" w:rsidRDefault="00F37030" w14:paraId="4DB01882" w14:textId="77777777">
    <w:pPr>
      <w:pStyle w:val="Header"/>
      <w:rPr>
        <w:sz w:val="2"/>
        <w:szCs w:val="2"/>
      </w:rPr>
    </w:pPr>
  </w:p>
  <w:p w:rsidR="00F37030" w:rsidRDefault="00F37030" w14:paraId="77A90160" w14:textId="77777777">
    <w:pPr>
      <w:pStyle w:val="Header"/>
      <w:spacing w:line="14" w:lineRule="exact"/>
      <w:rPr>
        <w:sz w:val="4"/>
        <w:szCs w:val="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guKoVqthI3jbP" int2:id="dfNSl112">
      <int2:state int2:value="Rejected" int2:type="AugLoop_Text_Critique"/>
    </int2:textHash>
    <int2:textHash int2:hashCode="KSTTzeEAvyuUYG" int2:id="FuN1oZR2">
      <int2:state int2:value="Rejected" int2:type="AugLoop_Text_Critique"/>
    </int2:textHash>
    <int2:textHash int2:hashCode="NWlbYPWUQGAw3S" int2:id="A02mDRAg">
      <int2:state int2:value="Rejected" int2:type="AugLoop_Text_Critique"/>
    </int2:textHash>
    <int2:textHash int2:hashCode="M+lQXRKULoJZo8" int2:id="TyBNlRTj">
      <int2:state int2:value="Rejected" int2:type="AugLoop_Text_Critique"/>
    </int2:textHash>
    <int2:textHash int2:hashCode="qQYL1VJXEUWb/T" int2:id="7yrJLaB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4617"/>
    <w:multiLevelType w:val="hybridMultilevel"/>
    <w:tmpl w:val="2C88B5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0BE9EBA">
      <w:start w:val="1"/>
      <w:numFmt w:val="lowerLetter"/>
      <w:lvlText w:val="%2."/>
      <w:lvlJc w:val="left"/>
      <w:pPr>
        <w:ind w:left="1440" w:hanging="360"/>
      </w:pPr>
    </w:lvl>
    <w:lvl w:ilvl="2" w:tplc="D2DAB60A">
      <w:start w:val="1"/>
      <w:numFmt w:val="lowerRoman"/>
      <w:lvlText w:val="%3."/>
      <w:lvlJc w:val="right"/>
      <w:pPr>
        <w:ind w:left="2160" w:hanging="180"/>
      </w:pPr>
    </w:lvl>
    <w:lvl w:ilvl="3" w:tplc="0C2068BC">
      <w:start w:val="1"/>
      <w:numFmt w:val="decimal"/>
      <w:lvlText w:val="%4."/>
      <w:lvlJc w:val="left"/>
      <w:pPr>
        <w:ind w:left="2880" w:hanging="360"/>
      </w:pPr>
    </w:lvl>
    <w:lvl w:ilvl="4" w:tplc="51361F64">
      <w:start w:val="1"/>
      <w:numFmt w:val="lowerLetter"/>
      <w:lvlText w:val="%5."/>
      <w:lvlJc w:val="left"/>
      <w:pPr>
        <w:ind w:left="3600" w:hanging="360"/>
      </w:pPr>
    </w:lvl>
    <w:lvl w:ilvl="5" w:tplc="AD4E2D28">
      <w:start w:val="1"/>
      <w:numFmt w:val="lowerRoman"/>
      <w:lvlText w:val="%6."/>
      <w:lvlJc w:val="right"/>
      <w:pPr>
        <w:ind w:left="4320" w:hanging="180"/>
      </w:pPr>
    </w:lvl>
    <w:lvl w:ilvl="6" w:tplc="C36A6494">
      <w:start w:val="1"/>
      <w:numFmt w:val="decimal"/>
      <w:lvlText w:val="%7."/>
      <w:lvlJc w:val="left"/>
      <w:pPr>
        <w:ind w:left="5040" w:hanging="360"/>
      </w:pPr>
    </w:lvl>
    <w:lvl w:ilvl="7" w:tplc="F970D66E">
      <w:start w:val="1"/>
      <w:numFmt w:val="lowerLetter"/>
      <w:lvlText w:val="%8."/>
      <w:lvlJc w:val="left"/>
      <w:pPr>
        <w:ind w:left="5760" w:hanging="360"/>
      </w:pPr>
    </w:lvl>
    <w:lvl w:ilvl="8" w:tplc="E2600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hint="default" w:ascii="Symbol" w:hAnsi="Symbol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01229697">
    <w:abstractNumId w:val="1"/>
  </w:num>
  <w:num w:numId="2" w16cid:durableId="11463135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066129"/>
    <w:rsid w:val="000B4A98"/>
    <w:rsid w:val="00167618"/>
    <w:rsid w:val="001D0F91"/>
    <w:rsid w:val="001E3876"/>
    <w:rsid w:val="002253D9"/>
    <w:rsid w:val="002567BC"/>
    <w:rsid w:val="002F135C"/>
    <w:rsid w:val="00366FD7"/>
    <w:rsid w:val="00377F9D"/>
    <w:rsid w:val="003A0987"/>
    <w:rsid w:val="00405FB3"/>
    <w:rsid w:val="004248BD"/>
    <w:rsid w:val="00450EEA"/>
    <w:rsid w:val="00466D82"/>
    <w:rsid w:val="00472C3C"/>
    <w:rsid w:val="004D6E6D"/>
    <w:rsid w:val="00520C5F"/>
    <w:rsid w:val="005242C9"/>
    <w:rsid w:val="00570667"/>
    <w:rsid w:val="00596EED"/>
    <w:rsid w:val="005A256D"/>
    <w:rsid w:val="005B1074"/>
    <w:rsid w:val="005E00BA"/>
    <w:rsid w:val="00674B67"/>
    <w:rsid w:val="006B7520"/>
    <w:rsid w:val="006D0849"/>
    <w:rsid w:val="006F32C1"/>
    <w:rsid w:val="00744520"/>
    <w:rsid w:val="007513DD"/>
    <w:rsid w:val="00777AC5"/>
    <w:rsid w:val="007D6248"/>
    <w:rsid w:val="00841D26"/>
    <w:rsid w:val="00863150"/>
    <w:rsid w:val="008A3AA6"/>
    <w:rsid w:val="009177A1"/>
    <w:rsid w:val="00981D31"/>
    <w:rsid w:val="009D0F11"/>
    <w:rsid w:val="009E2FBD"/>
    <w:rsid w:val="009F61CD"/>
    <w:rsid w:val="00A13B92"/>
    <w:rsid w:val="00B3792D"/>
    <w:rsid w:val="00B855C2"/>
    <w:rsid w:val="00C33E85"/>
    <w:rsid w:val="00C408D1"/>
    <w:rsid w:val="00C46361"/>
    <w:rsid w:val="00C53EF6"/>
    <w:rsid w:val="00C630BD"/>
    <w:rsid w:val="00CC0EB7"/>
    <w:rsid w:val="00D131BD"/>
    <w:rsid w:val="00D36C4F"/>
    <w:rsid w:val="00D6268F"/>
    <w:rsid w:val="00D9565F"/>
    <w:rsid w:val="00DE6C09"/>
    <w:rsid w:val="00DF4E03"/>
    <w:rsid w:val="00DF4F6B"/>
    <w:rsid w:val="00E60C4A"/>
    <w:rsid w:val="00E8172F"/>
    <w:rsid w:val="00E914D0"/>
    <w:rsid w:val="00EE5FD1"/>
    <w:rsid w:val="00F27817"/>
    <w:rsid w:val="00F37030"/>
    <w:rsid w:val="00F4772C"/>
    <w:rsid w:val="00F65050"/>
    <w:rsid w:val="0828B677"/>
    <w:rsid w:val="1786EF2A"/>
    <w:rsid w:val="399A7388"/>
    <w:rsid w:val="3AD2E61E"/>
    <w:rsid w:val="456E604F"/>
    <w:rsid w:val="5659FD3B"/>
    <w:rsid w:val="5D7DDD7A"/>
    <w:rsid w:val="6460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B8A1"/>
  <w15:chartTrackingRefBased/>
  <w15:docId w15:val="{EED8BE88-5E43-4909-9CE6-65EDB4825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styleId="ISOMB" w:customStyle="1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styleId="ISOClause" w:customStyle="1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styleId="ISOParagraph" w:customStyle="1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styleId="ISOCommType" w:customStyle="1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styleId="ISOComments" w:customStyle="1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styleId="ISOChange" w:customStyle="1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styleId="ISOSecretObservations" w:customStyle="1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MTEquationSection" w:customStyle="1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mtequationsection0" w:customStyle="1">
    <w:name w:val="mtequationsection"/>
    <w:basedOn w:val="DefaultParagraphFont"/>
  </w:style>
  <w:style w:type="paragraph" w:styleId="RegHead2" w:customStyle="1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styleId="RegHead3" w:customStyle="1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styleId="RegPara" w:customStyle="1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styleId="StyleRegHead111pt" w:customStyle="1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styleId="ListParagraph">
    <w:name w:val="List Paragraph"/>
    <w:basedOn w:val="Normal"/>
    <w:uiPriority w:val="34"/>
    <w:qFormat/>
    <w:rsid w:val="00377F9D"/>
    <w:pPr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:lang w:val="en-IN"/>
      <w14:ligatures w14:val="standardContextual"/>
    </w:rPr>
  </w:style>
  <w:style w:type="character" w:styleId="Hyperlink">
    <w:name w:val="Hyperlink"/>
    <w:basedOn w:val="DefaultParagraphFont"/>
    <w:rsid w:val="00377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arnaud.dore@imperativeinc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0901a-2cf4-4e57-8254-31690ce0fd32" xsi:nil="true"/>
    <lcf76f155ced4ddcb4097134ff3c332f xmlns="967b840f-2104-4f32-b4c4-3204eae2e7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9F4D6CFD39C4BAF5B1160474AC173" ma:contentTypeVersion="17" ma:contentTypeDescription="Create a new document." ma:contentTypeScope="" ma:versionID="ae483fa42497c9cbb91725408ac4d3eb">
  <xsd:schema xmlns:xsd="http://www.w3.org/2001/XMLSchema" xmlns:xs="http://www.w3.org/2001/XMLSchema" xmlns:p="http://schemas.microsoft.com/office/2006/metadata/properties" xmlns:ns2="967b840f-2104-4f32-b4c4-3204eae2e762" xmlns:ns3="a690901a-2cf4-4e57-8254-31690ce0fd32" targetNamespace="http://schemas.microsoft.com/office/2006/metadata/properties" ma:root="true" ma:fieldsID="8213b5d22544549e2d0fd68988369656" ns2:_="" ns3:_="">
    <xsd:import namespace="967b840f-2104-4f32-b4c4-3204eae2e762"/>
    <xsd:import namespace="a690901a-2cf4-4e57-8254-31690ce0f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b840f-2104-4f32-b4c4-3204eae2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3e9069-9179-4f13-9423-bf9422695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0901a-2cf4-4e57-8254-31690ce0f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d91b80-e6cc-414a-848f-4aa290e7d4fa}" ma:internalName="TaxCatchAll" ma:showField="CatchAllData" ma:web="a690901a-2cf4-4e57-8254-31690ce0f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  <ds:schemaRef ds:uri="a690901a-2cf4-4e57-8254-31690ce0fd32"/>
    <ds:schemaRef ds:uri="967b840f-2104-4f32-b4c4-3204eae2e762"/>
  </ds:schemaRefs>
</ds:datastoreItem>
</file>

<file path=customXml/itemProps3.xml><?xml version="1.0" encoding="utf-8"?>
<ds:datastoreItem xmlns:ds="http://schemas.openxmlformats.org/officeDocument/2006/customXml" ds:itemID="{65AFCB16-D3C6-46A1-AEE1-D7D841CE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b840f-2104-4f32-b4c4-3204eae2e762"/>
    <ds:schemaRef ds:uri="a690901a-2cf4-4e57-8254-31690ce0f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CommentsOn</dc:title>
  <dc:subject/>
  <dc:creator>dow</dc:creator>
  <keywords/>
  <dc:description>FORM (ISO)</dc:description>
  <lastModifiedBy>Arnaud Dore</lastModifiedBy>
  <revision>24</revision>
  <lastPrinted>2001-10-25T12:04:00.0000000Z</lastPrinted>
  <dcterms:created xsi:type="dcterms:W3CDTF">2023-10-13T16:07:00.0000000Z</dcterms:created>
  <dcterms:modified xsi:type="dcterms:W3CDTF">2023-11-06T11:01:07.1089937Z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  <property fmtid="{D5CDD505-2E9C-101B-9397-08002B2CF9AE}" pid="4" name="MediaServiceImageTags">
    <vt:lpwstr/>
  </property>
</Properties>
</file>