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00EA305E" w:rsidR="00E60C4A" w:rsidRDefault="00E60C4A" w:rsidP="00E60C4A">
      <w:pPr>
        <w:pStyle w:val="StyleRegHead111pt"/>
        <w:numPr>
          <w:ilvl w:val="0"/>
          <w:numId w:val="0"/>
        </w:numPr>
        <w:jc w:val="left"/>
      </w:pPr>
      <w:r>
        <w:t>Name of submitter: __</w:t>
      </w:r>
      <w:r w:rsidR="00731BBE" w:rsidRPr="00731BBE">
        <w:rPr>
          <w:u w:val="single"/>
        </w:rPr>
        <w:t>Johanna Depenthal</w:t>
      </w:r>
      <w:r>
        <w:t>____________</w:t>
      </w:r>
      <w:r w:rsidR="006D0849">
        <w:t>______</w:t>
      </w:r>
      <w:r w:rsidR="00044598">
        <w:t>_____________</w:t>
      </w:r>
    </w:p>
    <w:p w14:paraId="1539A45C" w14:textId="2F535641" w:rsidR="00E60C4A" w:rsidRDefault="00E60C4A" w:rsidP="00E60C4A">
      <w:pPr>
        <w:pStyle w:val="StyleRegHead111pt"/>
        <w:numPr>
          <w:ilvl w:val="0"/>
          <w:numId w:val="0"/>
        </w:numPr>
        <w:jc w:val="left"/>
      </w:pPr>
      <w:r>
        <w:t>Affiliated organization of the submitter</w:t>
      </w:r>
      <w:r w:rsidR="006D0849">
        <w:t xml:space="preserve"> (if any</w:t>
      </w:r>
      <w:r w:rsidR="006D0849" w:rsidRPr="00731BBE">
        <w:t>)</w:t>
      </w:r>
      <w:r w:rsidRPr="00731BBE">
        <w:t>: __</w:t>
      </w:r>
      <w:r w:rsidR="00463002" w:rsidRPr="00463002">
        <w:rPr>
          <w:u w:val="single"/>
        </w:rPr>
        <w:t>Independent</w:t>
      </w:r>
      <w:r w:rsidRPr="00731BBE">
        <w:t>______________</w:t>
      </w:r>
    </w:p>
    <w:p w14:paraId="5F63183D" w14:textId="147DB081" w:rsidR="00E60C4A" w:rsidRPr="007F243D" w:rsidRDefault="00E60C4A" w:rsidP="00E60C4A">
      <w:pPr>
        <w:pStyle w:val="StyleRegHead111pt"/>
        <w:numPr>
          <w:ilvl w:val="0"/>
          <w:numId w:val="0"/>
        </w:numPr>
        <w:jc w:val="left"/>
      </w:pPr>
      <w:r>
        <w:t>Contact email of submitter: ___</w:t>
      </w:r>
      <w:r w:rsidR="00731BBE" w:rsidRPr="00731BBE">
        <w:rPr>
          <w:u w:val="single"/>
        </w:rPr>
        <w:t>jdepenthal@ufl.edu</w:t>
      </w:r>
      <w:r>
        <w:t>_______</w:t>
      </w:r>
      <w:r w:rsidR="00044598">
        <w:t>____</w:t>
      </w:r>
      <w:r w:rsidR="006D0849">
        <w:t>______</w:t>
      </w:r>
      <w:r w:rsidR="00044598">
        <w:t>_______</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4762"/>
        <w:gridCol w:w="4253"/>
        <w:gridCol w:w="2552"/>
      </w:tblGrid>
      <w:tr w:rsidR="00863150" w:rsidRPr="00B94B14" w14:paraId="44974AB3"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Pr="00B94B14" w:rsidRDefault="00863150" w:rsidP="00A54D32">
            <w:pPr>
              <w:keepLines/>
              <w:spacing w:before="40" w:after="40"/>
              <w:jc w:val="center"/>
              <w:rPr>
                <w:b/>
                <w:bCs/>
              </w:rPr>
            </w:pPr>
            <w:r w:rsidRPr="00B94B14">
              <w:rPr>
                <w:b/>
                <w:bCs/>
              </w:rPr>
              <w:lastRenderedPageBreak/>
              <w:t>0</w:t>
            </w:r>
          </w:p>
        </w:tc>
        <w:tc>
          <w:tcPr>
            <w:tcW w:w="1388" w:type="dxa"/>
            <w:tcBorders>
              <w:top w:val="single" w:sz="6" w:space="0" w:color="auto"/>
              <w:left w:val="single" w:sz="6" w:space="0" w:color="auto"/>
              <w:bottom w:val="single" w:sz="6" w:space="0" w:color="auto"/>
              <w:right w:val="single" w:sz="6" w:space="0" w:color="auto"/>
            </w:tcBorders>
          </w:tcPr>
          <w:p w14:paraId="0556F682" w14:textId="77777777" w:rsidR="00863150" w:rsidRPr="00B94B14" w:rsidRDefault="00863150" w:rsidP="00A54D32">
            <w:pPr>
              <w:keepLines/>
              <w:spacing w:before="40" w:after="40"/>
              <w:jc w:val="center"/>
              <w:rPr>
                <w:b/>
                <w:bCs/>
              </w:rPr>
            </w:pPr>
            <w:r w:rsidRPr="00B94B14">
              <w:rPr>
                <w:b/>
                <w:bCs/>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Pr="00B94B14" w:rsidRDefault="00863150" w:rsidP="00A54D32">
            <w:pPr>
              <w:keepLines/>
              <w:spacing w:before="40" w:after="40"/>
              <w:jc w:val="center"/>
              <w:rPr>
                <w:b/>
                <w:bCs/>
              </w:rPr>
            </w:pPr>
            <w:r w:rsidRPr="00B94B14">
              <w:rPr>
                <w:b/>
                <w:bCs/>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Pr="00B94B14" w:rsidRDefault="00863150" w:rsidP="00A54D32">
            <w:pPr>
              <w:keepLines/>
              <w:spacing w:before="40" w:after="40"/>
              <w:jc w:val="center"/>
              <w:rPr>
                <w:b/>
                <w:bCs/>
              </w:rPr>
            </w:pPr>
            <w:r w:rsidRPr="00B94B14">
              <w:rPr>
                <w:b/>
                <w:bCs/>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Pr="00B94B14" w:rsidRDefault="00863150" w:rsidP="00A54D32">
            <w:pPr>
              <w:keepLines/>
              <w:spacing w:before="40" w:after="40"/>
              <w:jc w:val="center"/>
              <w:rPr>
                <w:b/>
                <w:bCs/>
              </w:rPr>
            </w:pPr>
            <w:r w:rsidRPr="00B94B14">
              <w:rPr>
                <w:b/>
                <w:bCs/>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Pr="00B94B14" w:rsidRDefault="00863150" w:rsidP="00A54D32">
            <w:pPr>
              <w:keepLines/>
              <w:spacing w:before="40" w:after="40"/>
              <w:jc w:val="center"/>
              <w:rPr>
                <w:b/>
                <w:bCs/>
              </w:rPr>
            </w:pPr>
            <w:r w:rsidRPr="00B94B14">
              <w:rPr>
                <w:b/>
                <w:bCs/>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Pr="00B94B14" w:rsidRDefault="00863150" w:rsidP="00A54D32">
            <w:pPr>
              <w:keepLines/>
              <w:spacing w:before="40" w:after="40"/>
              <w:jc w:val="center"/>
              <w:rPr>
                <w:b/>
                <w:bCs/>
              </w:rPr>
            </w:pPr>
            <w:r w:rsidRPr="00B94B14">
              <w:rPr>
                <w:b/>
                <w:bCs/>
              </w:rPr>
              <w:t>6</w:t>
            </w:r>
          </w:p>
        </w:tc>
      </w:tr>
      <w:tr w:rsidR="00863150" w:rsidRPr="00B94B14" w14:paraId="48486F42"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Pr="00B94B14" w:rsidRDefault="00863150" w:rsidP="00A54D32">
            <w:pPr>
              <w:keepLines/>
              <w:spacing w:before="40" w:after="40"/>
              <w:jc w:val="center"/>
              <w:rPr>
                <w:b/>
                <w:bCs/>
              </w:rPr>
            </w:pPr>
            <w:r w:rsidRPr="00B94B14">
              <w:rPr>
                <w:b/>
                <w:bCs/>
              </w:rPr>
              <w:t>#</w:t>
            </w:r>
          </w:p>
          <w:p w14:paraId="1BEFCA54" w14:textId="77777777" w:rsidR="00863150" w:rsidRPr="00B94B14" w:rsidRDefault="00863150" w:rsidP="00A54D32">
            <w:pPr>
              <w:keepLines/>
              <w:spacing w:before="40" w:after="40"/>
              <w:rPr>
                <w:b/>
                <w:bCs/>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Pr="00B94B14" w:rsidRDefault="00863150" w:rsidP="00A54D32">
            <w:pPr>
              <w:keepLines/>
              <w:spacing w:before="40" w:after="40"/>
              <w:jc w:val="center"/>
              <w:rPr>
                <w:b/>
                <w:bCs/>
              </w:rPr>
            </w:pPr>
            <w:r w:rsidRPr="00B94B14">
              <w:rPr>
                <w:b/>
                <w:bCs/>
              </w:rPr>
              <w:t>Para No./</w:t>
            </w:r>
            <w:r w:rsidRPr="00B94B14">
              <w:rPr>
                <w:b/>
                <w:bCs/>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Pr="00B94B14" w:rsidRDefault="00863150" w:rsidP="00A54D32">
            <w:pPr>
              <w:keepLines/>
              <w:spacing w:before="40" w:after="40"/>
              <w:jc w:val="center"/>
              <w:rPr>
                <w:b/>
                <w:bCs/>
              </w:rPr>
            </w:pPr>
            <w:r w:rsidRPr="00B94B14">
              <w:rPr>
                <w:b/>
                <w:bCs/>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Pr="00B94B14" w:rsidRDefault="00863150" w:rsidP="00A54D32">
            <w:pPr>
              <w:keepLines/>
              <w:spacing w:before="40" w:after="40"/>
              <w:jc w:val="center"/>
              <w:rPr>
                <w:b/>
                <w:bCs/>
              </w:rPr>
            </w:pPr>
            <w:r w:rsidRPr="00B94B14">
              <w:rPr>
                <w:b/>
                <w:bCs/>
              </w:rPr>
              <w:t>Type of comment</w:t>
            </w:r>
          </w:p>
          <w:p w14:paraId="7BC03EA3" w14:textId="77777777" w:rsidR="00863150" w:rsidRPr="00B94B14" w:rsidRDefault="00863150" w:rsidP="00A54D32">
            <w:pPr>
              <w:keepLines/>
              <w:spacing w:before="40" w:after="40"/>
              <w:jc w:val="center"/>
              <w:rPr>
                <w:rStyle w:val="PageNumber"/>
                <w:sz w:val="22"/>
                <w:szCs w:val="22"/>
              </w:rPr>
            </w:pPr>
            <w:r w:rsidRPr="00B94B14">
              <w:rPr>
                <w:rStyle w:val="PageNumber"/>
                <w:b/>
                <w:bCs/>
                <w:sz w:val="22"/>
                <w:szCs w:val="22"/>
              </w:rPr>
              <w:t>ge</w:t>
            </w:r>
            <w:r w:rsidRPr="00B94B14">
              <w:rPr>
                <w:rStyle w:val="PageNumber"/>
                <w:sz w:val="22"/>
                <w:szCs w:val="22"/>
              </w:rPr>
              <w:t xml:space="preserve"> = general</w:t>
            </w:r>
          </w:p>
          <w:p w14:paraId="192FE6D5" w14:textId="77777777" w:rsidR="00863150" w:rsidRPr="00B94B14" w:rsidRDefault="00863150" w:rsidP="00A54D32">
            <w:pPr>
              <w:keepLines/>
              <w:spacing w:before="40" w:after="40"/>
              <w:jc w:val="center"/>
              <w:rPr>
                <w:b/>
                <w:bCs/>
              </w:rPr>
            </w:pPr>
            <w:r w:rsidRPr="00B94B14">
              <w:rPr>
                <w:rStyle w:val="PageNumber"/>
                <w:b/>
                <w:bCs/>
                <w:sz w:val="22"/>
                <w:szCs w:val="22"/>
              </w:rPr>
              <w:t>te</w:t>
            </w:r>
            <w:r w:rsidRPr="00B94B14">
              <w:rPr>
                <w:rStyle w:val="PageNumber"/>
                <w:sz w:val="22"/>
                <w:szCs w:val="22"/>
              </w:rPr>
              <w:t xml:space="preserve"> = technical </w:t>
            </w:r>
            <w:r w:rsidRPr="00B94B14">
              <w:rPr>
                <w:rStyle w:val="PageNumber"/>
                <w:sz w:val="22"/>
                <w:szCs w:val="22"/>
              </w:rPr>
              <w:tab/>
            </w:r>
            <w:r w:rsidRPr="00B94B14">
              <w:rPr>
                <w:rStyle w:val="PageNumber"/>
                <w:b/>
                <w:bCs/>
                <w:sz w:val="22"/>
                <w:szCs w:val="22"/>
              </w:rPr>
              <w:t>ed</w:t>
            </w:r>
            <w:r w:rsidRPr="00B94B14">
              <w:rPr>
                <w:rStyle w:val="PageNumber"/>
                <w:sz w:val="22"/>
                <w:szCs w:val="22"/>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Pr="00B94B14" w:rsidRDefault="00863150" w:rsidP="00A54D32">
            <w:pPr>
              <w:keepLines/>
              <w:spacing w:before="40" w:after="40"/>
              <w:jc w:val="center"/>
              <w:rPr>
                <w:b/>
                <w:bCs/>
              </w:rPr>
            </w:pPr>
            <w:r w:rsidRPr="00B94B14">
              <w:rPr>
                <w:b/>
                <w:bCs/>
              </w:rPr>
              <w:t xml:space="preserve">Comment </w:t>
            </w:r>
          </w:p>
          <w:p w14:paraId="58D30D20" w14:textId="77777777" w:rsidR="00863150" w:rsidRPr="00B94B14" w:rsidRDefault="00863150" w:rsidP="00A54D32">
            <w:pPr>
              <w:keepLines/>
              <w:spacing w:before="40" w:after="40"/>
              <w:jc w:val="center"/>
              <w:rPr>
                <w:b/>
                <w:bCs/>
              </w:rPr>
            </w:pPr>
            <w:r w:rsidRPr="00B94B14">
              <w:rPr>
                <w:b/>
                <w:bCs/>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Pr="00B94B14" w:rsidRDefault="00863150" w:rsidP="00A54D32">
            <w:pPr>
              <w:keepLines/>
              <w:spacing w:before="40" w:after="40"/>
              <w:jc w:val="center"/>
              <w:rPr>
                <w:b/>
                <w:bCs/>
              </w:rPr>
            </w:pPr>
            <w:r w:rsidRPr="00B94B14">
              <w:rPr>
                <w:b/>
                <w:bCs/>
              </w:rPr>
              <w:t xml:space="preserve">Proposed change </w:t>
            </w:r>
          </w:p>
          <w:p w14:paraId="50091044" w14:textId="77777777" w:rsidR="00863150" w:rsidRPr="00B94B14" w:rsidRDefault="00863150" w:rsidP="00A54D32">
            <w:pPr>
              <w:keepLines/>
              <w:spacing w:before="40" w:after="40"/>
              <w:jc w:val="center"/>
              <w:rPr>
                <w:b/>
                <w:bCs/>
              </w:rPr>
            </w:pPr>
            <w:r w:rsidRPr="00B94B14">
              <w:rPr>
                <w:b/>
                <w:bCs/>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Pr="00B94B14" w:rsidRDefault="00863150" w:rsidP="00A54D32">
            <w:pPr>
              <w:keepLines/>
              <w:spacing w:before="40" w:after="40"/>
              <w:jc w:val="center"/>
              <w:rPr>
                <w:b/>
                <w:bCs/>
              </w:rPr>
            </w:pPr>
            <w:r w:rsidRPr="00B94B14">
              <w:rPr>
                <w:b/>
                <w:bCs/>
              </w:rPr>
              <w:t>Assessment of comment</w:t>
            </w:r>
          </w:p>
          <w:p w14:paraId="54A7E6A7" w14:textId="77777777" w:rsidR="00863150" w:rsidRPr="00B94B14" w:rsidRDefault="00863150" w:rsidP="00A54D32">
            <w:pPr>
              <w:keepLines/>
              <w:spacing w:before="40" w:after="40"/>
              <w:jc w:val="center"/>
              <w:rPr>
                <w:b/>
                <w:bCs/>
              </w:rPr>
            </w:pPr>
            <w:r w:rsidRPr="00B94B14">
              <w:rPr>
                <w:b/>
                <w:bCs/>
              </w:rPr>
              <w:t>(</w:t>
            </w:r>
            <w:r w:rsidRPr="00B94B14">
              <w:rPr>
                <w:b/>
                <w:bCs/>
                <w:i/>
              </w:rPr>
              <w:t>to be completed by UNFCCC secretariat</w:t>
            </w:r>
            <w:r w:rsidRPr="00B94B14">
              <w:rPr>
                <w:b/>
                <w:bCs/>
              </w:rPr>
              <w:t>)</w:t>
            </w:r>
          </w:p>
        </w:tc>
      </w:tr>
      <w:tr w:rsidR="00863150" w:rsidRPr="00B94B14" w14:paraId="1DABCE0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1DD377F3" w:rsidR="00863150" w:rsidRPr="00B94B14" w:rsidRDefault="00300B07" w:rsidP="00A54D32">
            <w:pPr>
              <w:keepLines/>
              <w:spacing w:before="40" w:after="40"/>
              <w:jc w:val="center"/>
              <w:rPr>
                <w:b/>
                <w:bCs/>
              </w:rPr>
            </w:pPr>
            <w:r w:rsidRPr="00B94B14">
              <w:rPr>
                <w:b/>
                <w:bCs/>
              </w:rPr>
              <w:t>1</w:t>
            </w:r>
          </w:p>
        </w:tc>
        <w:tc>
          <w:tcPr>
            <w:tcW w:w="1388" w:type="dxa"/>
            <w:tcBorders>
              <w:top w:val="single" w:sz="6" w:space="0" w:color="auto"/>
              <w:left w:val="single" w:sz="6" w:space="0" w:color="auto"/>
              <w:bottom w:val="single" w:sz="6" w:space="0" w:color="auto"/>
              <w:right w:val="single" w:sz="6" w:space="0" w:color="auto"/>
            </w:tcBorders>
          </w:tcPr>
          <w:p w14:paraId="5C076DD9" w14:textId="7D8901D2" w:rsidR="00863150" w:rsidRPr="00B94B14" w:rsidRDefault="002B04C2" w:rsidP="00A54D32">
            <w:pPr>
              <w:keepLines/>
              <w:spacing w:before="40" w:after="40"/>
              <w:jc w:val="center"/>
              <w:rPr>
                <w:b/>
                <w:bCs/>
              </w:rPr>
            </w:pPr>
            <w:r w:rsidRPr="00B94B14">
              <w:rPr>
                <w:b/>
                <w:bCs/>
              </w:rPr>
              <w:t>Pages 19-20</w:t>
            </w:r>
            <w:r w:rsidR="00415028">
              <w:rPr>
                <w:b/>
                <w:bCs/>
              </w:rPr>
              <w:t>, 51-52</w:t>
            </w:r>
          </w:p>
        </w:tc>
        <w:tc>
          <w:tcPr>
            <w:tcW w:w="1022" w:type="dxa"/>
            <w:tcBorders>
              <w:top w:val="single" w:sz="6" w:space="0" w:color="auto"/>
              <w:left w:val="single" w:sz="6" w:space="0" w:color="auto"/>
              <w:bottom w:val="single" w:sz="6" w:space="0" w:color="auto"/>
              <w:right w:val="single" w:sz="6" w:space="0" w:color="auto"/>
            </w:tcBorders>
          </w:tcPr>
          <w:p w14:paraId="240E162B" w14:textId="77777777" w:rsidR="00863150" w:rsidRPr="00B94B14" w:rsidRDefault="00863150" w:rsidP="00A54D32">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4B753E85" w14:textId="5463AD6E" w:rsidR="00863150" w:rsidRPr="00B94B14" w:rsidRDefault="00BA56CD" w:rsidP="00A54D32">
            <w:pPr>
              <w:keepLines/>
              <w:spacing w:before="40" w:after="40"/>
              <w:jc w:val="center"/>
              <w:rPr>
                <w:b/>
                <w:bCs/>
              </w:rPr>
            </w:pPr>
            <w:r w:rsidRPr="00B94B14">
              <w:rPr>
                <w:b/>
                <w:bCs/>
              </w:rPr>
              <w:t>te</w:t>
            </w:r>
          </w:p>
        </w:tc>
        <w:tc>
          <w:tcPr>
            <w:tcW w:w="4762" w:type="dxa"/>
            <w:tcBorders>
              <w:top w:val="single" w:sz="6" w:space="0" w:color="auto"/>
              <w:left w:val="single" w:sz="6" w:space="0" w:color="auto"/>
              <w:bottom w:val="single" w:sz="6" w:space="0" w:color="auto"/>
              <w:right w:val="single" w:sz="6" w:space="0" w:color="auto"/>
            </w:tcBorders>
          </w:tcPr>
          <w:p w14:paraId="1476402E" w14:textId="6274B8C8" w:rsidR="00415028" w:rsidRDefault="00A21798" w:rsidP="00A54D32">
            <w:pPr>
              <w:jc w:val="left"/>
            </w:pPr>
            <w:r w:rsidRPr="00B94B14">
              <w:t xml:space="preserve">The </w:t>
            </w:r>
            <w:r w:rsidR="00120316" w:rsidRPr="00B94B14">
              <w:t xml:space="preserve">WCMC 2010 basemap used as the starting point for above-ground biomass modelling is </w:t>
            </w:r>
            <w:r w:rsidR="00792BB1" w:rsidRPr="00B94B14">
              <w:t>13+ years out of date (data used in the map ranges from 1982-2010), compiled from multiple sources, and unvalidated.</w:t>
            </w:r>
            <w:r w:rsidR="00370ED7" w:rsidRPr="00B94B14">
              <w:t xml:space="preserve"> </w:t>
            </w:r>
            <w:r w:rsidR="00415028">
              <w:t>Pages 51-52</w:t>
            </w:r>
            <w:r w:rsidR="00415028" w:rsidRPr="00D56121">
              <w:t xml:space="preserve"> </w:t>
            </w:r>
            <w:r w:rsidR="00415028">
              <w:t>also highlight that “</w:t>
            </w:r>
            <w:r w:rsidR="00415028" w:rsidRPr="0082148C">
              <w:t>errors in the AGB input layer</w:t>
            </w:r>
            <w:r w:rsidR="00415028">
              <w:t>” have contributed to significant variability in the standard deviations of rmax and k (used to calculate AGB growth): the authors note that “</w:t>
            </w:r>
            <w:r w:rsidR="00415028" w:rsidRPr="006F196D">
              <w:t xml:space="preserve">we are planning to improve MoFuSS to better accommodate the errors inherent in large spatial AGB maps; however, this is still a work in progress and was not prepared for this assessment" </w:t>
            </w:r>
            <w:r w:rsidR="00415028">
              <w:t>(p. 52).</w:t>
            </w:r>
          </w:p>
          <w:p w14:paraId="7A52DEA8" w14:textId="77777777" w:rsidR="00415028" w:rsidRDefault="00415028" w:rsidP="00A54D32">
            <w:pPr>
              <w:jc w:val="left"/>
            </w:pPr>
          </w:p>
          <w:p w14:paraId="72E183A2" w14:textId="6BFED734" w:rsidR="00370ED7" w:rsidRPr="00B94B14" w:rsidRDefault="00370ED7" w:rsidP="00A54D32">
            <w:pPr>
              <w:jc w:val="left"/>
            </w:pPr>
            <w:r w:rsidRPr="00B94B14">
              <w:t xml:space="preserve">The list of potential AGB databases on page 19 does not list any databases with data more recent than 2012, yet the technological advances in remote sensing, data availability, data quality, and data resolution have been significant over the past decade (particularly in terms of increasing the number of bands/data layers for better distinction between land cover types, 3D LiDAR scanning, and smaller pixel sizes). Two of the most promising alternative AGB databases include the </w:t>
            </w:r>
            <w:hyperlink r:id="rId10" w:history="1">
              <w:r w:rsidRPr="00B94B14">
                <w:rPr>
                  <w:rStyle w:val="Hyperlink"/>
                </w:rPr>
                <w:t>GEDI databases</w:t>
              </w:r>
            </w:hyperlink>
            <w:r w:rsidRPr="00B94B14">
              <w:t xml:space="preserve"> (developed in part by NASA using the International Space Station and specifically geared towards AGB estimations) and the </w:t>
            </w:r>
            <w:hyperlink r:id="rId11" w:anchor=":~:text=The%20primary%20science%20objective%20ESA's,supporting%20quantification%20of%20biomass%20change." w:history="1">
              <w:r w:rsidRPr="00B94B14">
                <w:rPr>
                  <w:rStyle w:val="Hyperlink"/>
                </w:rPr>
                <w:t>ESA’s Climate Change Initiative Biomass project</w:t>
              </w:r>
            </w:hyperlink>
            <w:r w:rsidRPr="00B94B14">
              <w:t xml:space="preserve"> datasets</w:t>
            </w:r>
            <w:r w:rsidR="000D467D" w:rsidRPr="00B94B14">
              <w:t xml:space="preserve">. </w:t>
            </w:r>
            <w:r w:rsidRPr="00B94B14">
              <w:t xml:space="preserve">The ESA’s Climate Change Initiative Biomass project dataset in particular seems to meet all the criteria specified by the Information Note while far surpassing the quality of the WCMC 2010 data: it has a 100 m x 100 m spatial resolution (9x finer grain than the WCMC data), has data as updated as 2020 with the option to compare against a </w:t>
            </w:r>
            <w:r w:rsidRPr="00B94B14">
              <w:lastRenderedPageBreak/>
              <w:t>baseline year from 2010, is single source,</w:t>
            </w:r>
            <w:r w:rsidR="000116A3" w:rsidRPr="00B94B14">
              <w:t xml:space="preserve"> open access,</w:t>
            </w:r>
            <w:r w:rsidRPr="00B94B14">
              <w:t xml:space="preserve"> validated against field inventory data, </w:t>
            </w:r>
            <w:r w:rsidR="001202A2">
              <w:t xml:space="preserve">available in geoTIFF format, </w:t>
            </w:r>
            <w:r w:rsidRPr="00B94B14">
              <w:t>and has pixel-level uncertainty estimates.</w:t>
            </w:r>
          </w:p>
          <w:p w14:paraId="6BEC586B" w14:textId="77777777" w:rsidR="00BA56CD" w:rsidRPr="00B94B14" w:rsidRDefault="00BA56CD" w:rsidP="00A54D32">
            <w:pPr>
              <w:keepLines/>
              <w:spacing w:before="40" w:after="40"/>
              <w:jc w:val="left"/>
              <w:rPr>
                <w:b/>
                <w:bCs/>
              </w:rPr>
            </w:pPr>
          </w:p>
        </w:tc>
        <w:tc>
          <w:tcPr>
            <w:tcW w:w="4253" w:type="dxa"/>
            <w:tcBorders>
              <w:top w:val="single" w:sz="6" w:space="0" w:color="auto"/>
              <w:left w:val="single" w:sz="6" w:space="0" w:color="auto"/>
              <w:bottom w:val="single" w:sz="6" w:space="0" w:color="auto"/>
              <w:right w:val="single" w:sz="6" w:space="0" w:color="auto"/>
            </w:tcBorders>
          </w:tcPr>
          <w:p w14:paraId="3591791D" w14:textId="6A92D568" w:rsidR="00863150" w:rsidRPr="00B94B14" w:rsidRDefault="00706D74" w:rsidP="00A54D32">
            <w:pPr>
              <w:keepLines/>
              <w:spacing w:before="40" w:after="40"/>
              <w:jc w:val="left"/>
            </w:pPr>
            <w:r w:rsidRPr="00B94B14">
              <w:lastRenderedPageBreak/>
              <w:t xml:space="preserve">More recent </w:t>
            </w:r>
            <w:r w:rsidR="000D467D" w:rsidRPr="00B94B14">
              <w:t>databases (in particular, the GEDI</w:t>
            </w:r>
            <w:r w:rsidR="00E97E4E" w:rsidRPr="00B94B14">
              <w:t xml:space="preserve"> L4B Gridded Aboveground Biomass Density Database and the </w:t>
            </w:r>
            <w:r w:rsidRPr="00B94B14">
              <w:t>ESA’s Climate Change Initiative Biomass project datasets) should be rigorously considered as alternatives to the WCMC 2010 basemap</w:t>
            </w:r>
            <w:r w:rsidR="00122946" w:rsidRPr="00B94B14">
              <w:t xml:space="preserve"> and listed among potential databases on page 19</w:t>
            </w:r>
            <w:r w:rsidRPr="00B94B14">
              <w:t>. If</w:t>
            </w:r>
            <w:r w:rsidR="00122946" w:rsidRPr="00B94B14">
              <w:t xml:space="preserve"> an updated database is found to be </w:t>
            </w:r>
            <w:r w:rsidRPr="00B94B14">
              <w:t>suitable, t</w:t>
            </w:r>
            <w:r w:rsidR="005F2728" w:rsidRPr="00B94B14">
              <w:t xml:space="preserve">he MoFuSS model should be re-run </w:t>
            </w:r>
            <w:r w:rsidR="001A762F" w:rsidRPr="00B94B14">
              <w:t>on the base of an updated AGB basemap</w:t>
            </w:r>
            <w:r w:rsidRPr="00B94B14">
              <w:t>.</w:t>
            </w:r>
          </w:p>
          <w:p w14:paraId="3A843D59" w14:textId="77777777" w:rsidR="00706D74" w:rsidRPr="00B94B14" w:rsidRDefault="00706D74" w:rsidP="00A54D32">
            <w:pPr>
              <w:keepLines/>
              <w:spacing w:before="40" w:after="40"/>
              <w:jc w:val="left"/>
            </w:pPr>
          </w:p>
          <w:p w14:paraId="6508F47C" w14:textId="4A792977" w:rsidR="00706D74" w:rsidRPr="00B94B14" w:rsidRDefault="00706D74" w:rsidP="00A54D32">
            <w:pPr>
              <w:keepLines/>
              <w:spacing w:before="40" w:after="40"/>
              <w:jc w:val="left"/>
            </w:pPr>
            <w:r w:rsidRPr="00B94B14">
              <w:t xml:space="preserve">Proposed text: </w:t>
            </w:r>
            <w:r w:rsidRPr="002D0DCC">
              <w:t>“T</w:t>
            </w:r>
            <w:r w:rsidR="000116A3" w:rsidRPr="002D0DCC">
              <w:t xml:space="preserve">his model uses </w:t>
            </w:r>
            <w:r w:rsidR="009B0DA4" w:rsidRPr="002D0DCC">
              <w:t>[insert name of chosen database] as the baseline for AGB estimates</w:t>
            </w:r>
            <w:r w:rsidR="00504B99" w:rsidRPr="002D0DCC">
              <w:t>. The database is single-source, validated, high resolution, and based on high quality observational data from within the last 5 years.</w:t>
            </w:r>
            <w:r w:rsidR="00391023">
              <w:t xml:space="preserve"> MoFuSS has also been revised to</w:t>
            </w:r>
            <w:r w:rsidR="007C4724">
              <w:t xml:space="preserve"> better accommodate </w:t>
            </w:r>
            <w:r w:rsidR="00B86EA2">
              <w:t xml:space="preserve">errors </w:t>
            </w:r>
            <w:r w:rsidR="007C4724">
              <w:t>in large spatial AGB maps</w:t>
            </w:r>
            <w:r w:rsidR="00800025">
              <w:t xml:space="preserve"> in such a way that reduces </w:t>
            </w:r>
            <w:r w:rsidR="00B86EA2">
              <w:t>variance in rmax and k values</w:t>
            </w:r>
            <w:r w:rsidR="007C4724">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863150" w:rsidRPr="00B94B14" w:rsidRDefault="00863150" w:rsidP="00A54D32">
            <w:pPr>
              <w:keepLines/>
              <w:spacing w:before="40" w:after="40"/>
              <w:jc w:val="center"/>
              <w:rPr>
                <w:b/>
                <w:bCs/>
              </w:rPr>
            </w:pPr>
          </w:p>
        </w:tc>
      </w:tr>
      <w:tr w:rsidR="00863150" w:rsidRPr="00B94B14" w14:paraId="7BCB281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630BE0CC" w14:textId="2ED032F7" w:rsidR="00863150" w:rsidRPr="00B94B14" w:rsidRDefault="000E2C99" w:rsidP="00A54D32">
            <w:pPr>
              <w:keepLines/>
              <w:spacing w:before="40" w:after="40"/>
              <w:jc w:val="center"/>
              <w:rPr>
                <w:b/>
                <w:bCs/>
              </w:rPr>
            </w:pPr>
            <w:r>
              <w:rPr>
                <w:b/>
                <w:bCs/>
              </w:rPr>
              <w:lastRenderedPageBreak/>
              <w:t>2</w:t>
            </w:r>
          </w:p>
        </w:tc>
        <w:tc>
          <w:tcPr>
            <w:tcW w:w="1388" w:type="dxa"/>
            <w:tcBorders>
              <w:top w:val="single" w:sz="6" w:space="0" w:color="auto"/>
              <w:left w:val="single" w:sz="6" w:space="0" w:color="auto"/>
              <w:bottom w:val="single" w:sz="6" w:space="0" w:color="auto"/>
              <w:right w:val="single" w:sz="6" w:space="0" w:color="auto"/>
            </w:tcBorders>
          </w:tcPr>
          <w:p w14:paraId="59BBCE6B" w14:textId="0DDE3242" w:rsidR="00863150" w:rsidRPr="00B94B14" w:rsidRDefault="00D237BE" w:rsidP="00A54D32">
            <w:pPr>
              <w:keepLines/>
              <w:spacing w:before="40" w:after="40"/>
              <w:jc w:val="center"/>
              <w:rPr>
                <w:b/>
                <w:bCs/>
              </w:rPr>
            </w:pPr>
            <w:r w:rsidRPr="00B86EA2">
              <w:rPr>
                <w:b/>
                <w:bCs/>
              </w:rPr>
              <w:t>Pages 19</w:t>
            </w:r>
            <w:r w:rsidR="00415028" w:rsidRPr="00B86EA2">
              <w:rPr>
                <w:b/>
                <w:bCs/>
              </w:rPr>
              <w:t>,</w:t>
            </w:r>
            <w:r w:rsidR="00552C1A" w:rsidRPr="00B86EA2">
              <w:rPr>
                <w:b/>
                <w:bCs/>
              </w:rPr>
              <w:t xml:space="preserve"> </w:t>
            </w:r>
            <w:r w:rsidR="00A54D32" w:rsidRPr="00B86EA2">
              <w:rPr>
                <w:b/>
                <w:bCs/>
              </w:rPr>
              <w:t>65</w:t>
            </w:r>
          </w:p>
        </w:tc>
        <w:tc>
          <w:tcPr>
            <w:tcW w:w="1022" w:type="dxa"/>
            <w:tcBorders>
              <w:top w:val="single" w:sz="6" w:space="0" w:color="auto"/>
              <w:left w:val="single" w:sz="6" w:space="0" w:color="auto"/>
              <w:bottom w:val="single" w:sz="6" w:space="0" w:color="auto"/>
              <w:right w:val="single" w:sz="6" w:space="0" w:color="auto"/>
            </w:tcBorders>
          </w:tcPr>
          <w:p w14:paraId="14EAD6AF" w14:textId="77777777" w:rsidR="00863150" w:rsidRPr="00B94B14" w:rsidRDefault="00863150" w:rsidP="00A54D32">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103ABC10" w14:textId="23C63406" w:rsidR="00863150" w:rsidRPr="00B94B14" w:rsidRDefault="00C76273" w:rsidP="00A54D32">
            <w:pPr>
              <w:keepLines/>
              <w:spacing w:before="40" w:after="40"/>
              <w:jc w:val="center"/>
              <w:rPr>
                <w:b/>
                <w:bCs/>
              </w:rPr>
            </w:pPr>
            <w:r>
              <w:rPr>
                <w:b/>
                <w:bCs/>
              </w:rPr>
              <w:t>te</w:t>
            </w:r>
          </w:p>
        </w:tc>
        <w:tc>
          <w:tcPr>
            <w:tcW w:w="4762" w:type="dxa"/>
            <w:tcBorders>
              <w:top w:val="single" w:sz="6" w:space="0" w:color="auto"/>
              <w:left w:val="single" w:sz="6" w:space="0" w:color="auto"/>
              <w:bottom w:val="single" w:sz="6" w:space="0" w:color="auto"/>
              <w:right w:val="single" w:sz="6" w:space="0" w:color="auto"/>
            </w:tcBorders>
          </w:tcPr>
          <w:p w14:paraId="384D660A" w14:textId="6CC199FA" w:rsidR="00863150" w:rsidRPr="00D56121" w:rsidRDefault="00D56121" w:rsidP="00A54D32">
            <w:pPr>
              <w:keepLines/>
              <w:spacing w:before="40" w:after="40"/>
              <w:jc w:val="left"/>
            </w:pPr>
            <w:r w:rsidRPr="00D56121">
              <w:t xml:space="preserve">Equally concerning as the age of the AGB basemap is the apparent lack of model calibration and validation (calibration is the process of fine-tuning the model until it can be validated, i.e., confirmed as valid when checked against real-world data). While the </w:t>
            </w:r>
            <w:r w:rsidR="00030428">
              <w:t xml:space="preserve">page 19 </w:t>
            </w:r>
            <w:r w:rsidRPr="00D56121">
              <w:t>references using 2010 as a baseline year in order to “calibrate our models to observed changes that occurred over that timeframe,</w:t>
            </w:r>
            <w:r w:rsidR="00030428">
              <w:t>”</w:t>
            </w:r>
            <w:r w:rsidRPr="00D56121">
              <w:t xml:space="preserve"> it is unclear what, if any, data the model was calibrated against since no databases with observed, recent AGB estimates were included in the model. While Ghilardi et al. (2016), which describes the first version of the MoFuSS model, explicitly discussed calibrating the model against maps of forest cover change from Global Forest Watch dataset during their Honduras case study, the current Information Note states that the model’s deforestation module was deactivated for this simulation due to issues with calibration and validation, in particular because it was “very difficult to calibrate a single model for an entire continent” (p. 65).</w:t>
            </w:r>
            <w:r w:rsidR="001452D4">
              <w:t xml:space="preserve"> </w:t>
            </w:r>
            <w:r w:rsidRPr="00D56121">
              <w:t xml:space="preserve">This raises concerns about the reliability of the model outputs, especially given the simulation’s forty-year length and its </w:t>
            </w:r>
            <w:r w:rsidR="00030428">
              <w:t xml:space="preserve">large </w:t>
            </w:r>
            <w:r w:rsidRPr="00D56121">
              <w:t>geographic scope.</w:t>
            </w:r>
          </w:p>
        </w:tc>
        <w:tc>
          <w:tcPr>
            <w:tcW w:w="4253" w:type="dxa"/>
            <w:tcBorders>
              <w:top w:val="single" w:sz="6" w:space="0" w:color="auto"/>
              <w:left w:val="single" w:sz="6" w:space="0" w:color="auto"/>
              <w:bottom w:val="single" w:sz="6" w:space="0" w:color="auto"/>
              <w:right w:val="single" w:sz="6" w:space="0" w:color="auto"/>
            </w:tcBorders>
          </w:tcPr>
          <w:p w14:paraId="78817C60" w14:textId="550AD403" w:rsidR="00863150" w:rsidRDefault="00C505B8" w:rsidP="00A54D32">
            <w:pPr>
              <w:keepLines/>
              <w:spacing w:before="40" w:after="40"/>
              <w:jc w:val="left"/>
            </w:pPr>
            <w:r w:rsidRPr="00C505B8">
              <w:t xml:space="preserve">Model </w:t>
            </w:r>
            <w:r>
              <w:t xml:space="preserve">outputs should undergo a process of </w:t>
            </w:r>
            <w:r w:rsidR="009F2D02">
              <w:t xml:space="preserve">calibration and </w:t>
            </w:r>
            <w:r>
              <w:t>validation against real AGB estimates and patterns of deforestation, and adjustments made to the model as necessary.</w:t>
            </w:r>
          </w:p>
          <w:p w14:paraId="0C505844" w14:textId="060ED4DA" w:rsidR="00C505B8" w:rsidRPr="00C505B8" w:rsidRDefault="00C505B8" w:rsidP="00A54D32">
            <w:pPr>
              <w:keepLines/>
              <w:spacing w:before="40" w:after="40"/>
              <w:jc w:val="left"/>
            </w:pPr>
            <w:r w:rsidRPr="002D0DCC">
              <w:t xml:space="preserve">Proposed text: </w:t>
            </w:r>
            <w:r w:rsidR="00254652">
              <w:t>“</w:t>
            </w:r>
            <w:r w:rsidRPr="002D0DCC">
              <w:t xml:space="preserve">The MoFuSS model </w:t>
            </w:r>
            <w:r w:rsidR="00FB0B59" w:rsidRPr="002D0DCC">
              <w:t>has undergone a rigorous process of validating modelled AGB estimates and patterns of deforestation against the following sources of observational data…”</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863150" w:rsidRPr="00B94B14" w:rsidRDefault="00863150" w:rsidP="00A54D32">
            <w:pPr>
              <w:keepLines/>
              <w:spacing w:before="40" w:after="40"/>
              <w:jc w:val="center"/>
              <w:rPr>
                <w:b/>
                <w:bCs/>
              </w:rPr>
            </w:pPr>
          </w:p>
        </w:tc>
      </w:tr>
      <w:tr w:rsidR="00863150" w:rsidRPr="00B94B14" w14:paraId="1DD2AA5D"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1EFE1889" w:rsidR="00863150" w:rsidRPr="00B94B14" w:rsidRDefault="00C76273" w:rsidP="00A54D32">
            <w:pPr>
              <w:keepLines/>
              <w:spacing w:before="40" w:after="40"/>
              <w:jc w:val="center"/>
              <w:rPr>
                <w:b/>
                <w:bCs/>
              </w:rPr>
            </w:pPr>
            <w:r>
              <w:rPr>
                <w:b/>
                <w:bCs/>
              </w:rPr>
              <w:t>3</w:t>
            </w:r>
          </w:p>
        </w:tc>
        <w:tc>
          <w:tcPr>
            <w:tcW w:w="1388" w:type="dxa"/>
            <w:tcBorders>
              <w:top w:val="single" w:sz="6" w:space="0" w:color="auto"/>
              <w:left w:val="single" w:sz="6" w:space="0" w:color="auto"/>
              <w:bottom w:val="single" w:sz="6" w:space="0" w:color="auto"/>
              <w:right w:val="single" w:sz="6" w:space="0" w:color="auto"/>
            </w:tcBorders>
          </w:tcPr>
          <w:p w14:paraId="49AFBB31" w14:textId="40053105" w:rsidR="00863150" w:rsidRPr="00B94B14" w:rsidRDefault="00C76273" w:rsidP="00A54D32">
            <w:pPr>
              <w:keepLines/>
              <w:spacing w:before="40" w:after="40"/>
              <w:jc w:val="center"/>
              <w:rPr>
                <w:b/>
                <w:bCs/>
              </w:rPr>
            </w:pPr>
            <w:r>
              <w:rPr>
                <w:b/>
                <w:bCs/>
              </w:rPr>
              <w:t>Appendix 2, also page</w:t>
            </w:r>
            <w:r w:rsidR="00DD5730">
              <w:rPr>
                <w:b/>
                <w:bCs/>
              </w:rPr>
              <w:t>s 6 and 23.</w:t>
            </w:r>
          </w:p>
        </w:tc>
        <w:tc>
          <w:tcPr>
            <w:tcW w:w="1022" w:type="dxa"/>
            <w:tcBorders>
              <w:top w:val="single" w:sz="6" w:space="0" w:color="auto"/>
              <w:left w:val="single" w:sz="6" w:space="0" w:color="auto"/>
              <w:bottom w:val="single" w:sz="6" w:space="0" w:color="auto"/>
              <w:right w:val="single" w:sz="6" w:space="0" w:color="auto"/>
            </w:tcBorders>
          </w:tcPr>
          <w:p w14:paraId="75AD19F8" w14:textId="77777777" w:rsidR="00863150" w:rsidRPr="00B94B14" w:rsidRDefault="00863150" w:rsidP="00A54D32">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0CCA30C3" w14:textId="2B59617F" w:rsidR="00863150" w:rsidRPr="00B94B14" w:rsidRDefault="00C76273" w:rsidP="00A54D32">
            <w:pPr>
              <w:keepLines/>
              <w:spacing w:before="40" w:after="40"/>
              <w:jc w:val="center"/>
              <w:rPr>
                <w:b/>
                <w:bCs/>
              </w:rPr>
            </w:pPr>
            <w:r>
              <w:rPr>
                <w:b/>
                <w:bCs/>
              </w:rPr>
              <w:t>te</w:t>
            </w:r>
          </w:p>
        </w:tc>
        <w:tc>
          <w:tcPr>
            <w:tcW w:w="4762" w:type="dxa"/>
            <w:tcBorders>
              <w:top w:val="single" w:sz="6" w:space="0" w:color="auto"/>
              <w:left w:val="single" w:sz="6" w:space="0" w:color="auto"/>
              <w:bottom w:val="single" w:sz="6" w:space="0" w:color="auto"/>
              <w:right w:val="single" w:sz="6" w:space="0" w:color="auto"/>
            </w:tcBorders>
          </w:tcPr>
          <w:p w14:paraId="43BD7172" w14:textId="5B419462" w:rsidR="00863150" w:rsidRPr="00C76273" w:rsidRDefault="00C76273" w:rsidP="00A54D32">
            <w:pPr>
              <w:keepLines/>
              <w:spacing w:before="40" w:after="40"/>
              <w:jc w:val="left"/>
            </w:pPr>
            <w:r w:rsidRPr="00C76273">
              <w:t xml:space="preserve">The exclusion of the MoFuSS deforestation module from this simulation (Appendix 2) is also cause for concern because other common sources of large-scale deforestation (agricultural expansion, land clearing for other purposes), are not currently reflected in the model. The use of land clearing by products for woodfuels is also not included (p. 6). As explained in the Information Note, “our simulations would be overestimating regrowth </w:t>
            </w:r>
            <w:r w:rsidRPr="00C76273">
              <w:lastRenderedPageBreak/>
              <w:t xml:space="preserve">and underestimating fNRB” in such areas (p. 23). Considering the wide variety of factors that contribute to large-scale forest clearing, this omission seems of critical importance. </w:t>
            </w:r>
          </w:p>
        </w:tc>
        <w:tc>
          <w:tcPr>
            <w:tcW w:w="4253" w:type="dxa"/>
            <w:tcBorders>
              <w:top w:val="single" w:sz="6" w:space="0" w:color="auto"/>
              <w:left w:val="single" w:sz="6" w:space="0" w:color="auto"/>
              <w:bottom w:val="single" w:sz="6" w:space="0" w:color="auto"/>
              <w:right w:val="single" w:sz="6" w:space="0" w:color="auto"/>
            </w:tcBorders>
          </w:tcPr>
          <w:p w14:paraId="3CF3C773" w14:textId="77777777" w:rsidR="00863150" w:rsidRDefault="00535EA3" w:rsidP="00A54D32">
            <w:pPr>
              <w:keepLines/>
              <w:spacing w:before="40" w:after="40"/>
              <w:jc w:val="left"/>
            </w:pPr>
            <w:r>
              <w:lastRenderedPageBreak/>
              <w:t xml:space="preserve">Ideally, changes would be made to the MoFuSS to incorporate these critical sources of deforestation. </w:t>
            </w:r>
            <w:r w:rsidR="00DD5730" w:rsidRPr="00C76273">
              <w:t>If these sources of deforestation cannot be accurately modeled at large scale, perhaps an adjustment factor can be added to the fNRB?</w:t>
            </w:r>
          </w:p>
          <w:p w14:paraId="3B1F07FC" w14:textId="77777777" w:rsidR="00535EA3" w:rsidRDefault="00535EA3" w:rsidP="00A54D32">
            <w:pPr>
              <w:keepLines/>
              <w:spacing w:before="40" w:after="40"/>
              <w:jc w:val="left"/>
            </w:pPr>
          </w:p>
          <w:p w14:paraId="437240CF" w14:textId="77777777" w:rsidR="00535EA3" w:rsidRDefault="00535EA3" w:rsidP="00A54D32">
            <w:pPr>
              <w:keepLines/>
              <w:spacing w:before="40" w:after="40"/>
              <w:jc w:val="left"/>
            </w:pPr>
            <w:r>
              <w:lastRenderedPageBreak/>
              <w:t>Proposed text: “</w:t>
            </w:r>
            <w:r w:rsidR="0010781C">
              <w:t xml:space="preserve">The following changes (explain) have been made to the deforestation module to enable it to be incorporated for large-scale modelling.” </w:t>
            </w:r>
          </w:p>
          <w:p w14:paraId="62DE8DFD" w14:textId="77777777" w:rsidR="0010781C" w:rsidRDefault="0010781C" w:rsidP="00A54D32">
            <w:pPr>
              <w:keepLines/>
              <w:spacing w:before="40" w:after="40"/>
              <w:jc w:val="left"/>
            </w:pPr>
            <w:r>
              <w:t>OR</w:t>
            </w:r>
          </w:p>
          <w:p w14:paraId="55B5FCA0" w14:textId="024EC093" w:rsidR="0010781C" w:rsidRPr="00B94B14" w:rsidRDefault="0010781C" w:rsidP="00A54D32">
            <w:pPr>
              <w:keepLines/>
              <w:spacing w:before="40" w:after="40"/>
              <w:jc w:val="left"/>
              <w:rPr>
                <w:b/>
                <w:bCs/>
              </w:rPr>
            </w:pPr>
            <w:r>
              <w:t xml:space="preserve">“In light of the </w:t>
            </w:r>
            <w:r w:rsidR="0076057B">
              <w:t xml:space="preserve">influence of deforestation motivated by agricultural expansion or land on fNRB but the difficulties </w:t>
            </w:r>
            <w:r>
              <w:t xml:space="preserve">modelling </w:t>
            </w:r>
            <w:r w:rsidR="0076057B">
              <w:t xml:space="preserve">these other sources of deforestation </w:t>
            </w:r>
            <w:r w:rsidR="00685D34">
              <w:t>at the regional and global scale, we recommend that</w:t>
            </w:r>
            <w:r w:rsidR="002C7269">
              <w:t xml:space="preserve"> fNRB values be increased by</w:t>
            </w:r>
            <w:r w:rsidR="00685D34">
              <w:t xml:space="preserve"> an adjustment factor</w:t>
            </w:r>
            <w:r w:rsidR="0058026D">
              <w:t xml:space="preserve"> </w:t>
            </w:r>
            <w:r w:rsidR="002C7269">
              <w:t xml:space="preserve">to </w:t>
            </w:r>
            <w:r w:rsidR="004B735F">
              <w:t>compensate for this omission.”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863150" w:rsidRPr="00B94B14" w:rsidRDefault="00863150" w:rsidP="00A54D32">
            <w:pPr>
              <w:keepLines/>
              <w:spacing w:before="40" w:after="40"/>
              <w:jc w:val="center"/>
              <w:rPr>
                <w:b/>
                <w:bCs/>
              </w:rPr>
            </w:pPr>
          </w:p>
        </w:tc>
      </w:tr>
      <w:tr w:rsidR="00863150" w:rsidRPr="00B94B14" w14:paraId="20DC664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5C234" w14:textId="59550085" w:rsidR="00863150" w:rsidRPr="00B94B14" w:rsidRDefault="00097999" w:rsidP="00A54D32">
            <w:pPr>
              <w:keepLines/>
              <w:spacing w:before="40" w:after="40"/>
              <w:jc w:val="center"/>
              <w:rPr>
                <w:b/>
                <w:bCs/>
              </w:rPr>
            </w:pPr>
            <w:r>
              <w:rPr>
                <w:b/>
                <w:bCs/>
              </w:rPr>
              <w:lastRenderedPageBreak/>
              <w:t>4</w:t>
            </w:r>
          </w:p>
        </w:tc>
        <w:tc>
          <w:tcPr>
            <w:tcW w:w="1388" w:type="dxa"/>
            <w:tcBorders>
              <w:top w:val="single" w:sz="6" w:space="0" w:color="auto"/>
              <w:left w:val="single" w:sz="6" w:space="0" w:color="auto"/>
              <w:bottom w:val="single" w:sz="6" w:space="0" w:color="auto"/>
              <w:right w:val="single" w:sz="6" w:space="0" w:color="auto"/>
            </w:tcBorders>
          </w:tcPr>
          <w:p w14:paraId="2F3815E4" w14:textId="091F0D71" w:rsidR="00863150" w:rsidRPr="00B94B14" w:rsidRDefault="00644DEF" w:rsidP="00A54D32">
            <w:pPr>
              <w:keepLines/>
              <w:spacing w:before="40" w:after="40"/>
              <w:jc w:val="center"/>
              <w:rPr>
                <w:b/>
                <w:bCs/>
              </w:rPr>
            </w:pPr>
            <w:r>
              <w:rPr>
                <w:b/>
                <w:bCs/>
              </w:rPr>
              <w:t>Pages</w:t>
            </w:r>
            <w:r w:rsidR="006D602C">
              <w:rPr>
                <w:b/>
                <w:bCs/>
              </w:rPr>
              <w:t xml:space="preserve"> 4, 5, 18</w:t>
            </w:r>
            <w:r w:rsidR="00F20D4A">
              <w:rPr>
                <w:b/>
                <w:bCs/>
              </w:rPr>
              <w:t>, Figure 2, page</w:t>
            </w:r>
            <w:r w:rsidR="003B3C99">
              <w:rPr>
                <w:b/>
                <w:bCs/>
              </w:rPr>
              <w:t>s 25-</w:t>
            </w:r>
            <w:r w:rsidR="00F20D4A">
              <w:rPr>
                <w:b/>
                <w:bCs/>
              </w:rPr>
              <w:t>26</w:t>
            </w:r>
          </w:p>
        </w:tc>
        <w:tc>
          <w:tcPr>
            <w:tcW w:w="1022" w:type="dxa"/>
            <w:tcBorders>
              <w:top w:val="single" w:sz="6" w:space="0" w:color="auto"/>
              <w:left w:val="single" w:sz="6" w:space="0" w:color="auto"/>
              <w:bottom w:val="single" w:sz="6" w:space="0" w:color="auto"/>
              <w:right w:val="single" w:sz="6" w:space="0" w:color="auto"/>
            </w:tcBorders>
          </w:tcPr>
          <w:p w14:paraId="15AC8CDE" w14:textId="77777777" w:rsidR="00863150" w:rsidRPr="00B94B14" w:rsidRDefault="00863150" w:rsidP="00A54D32">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17A4ED9A" w14:textId="39CAB716" w:rsidR="00863150" w:rsidRPr="00B94B14" w:rsidRDefault="0052029E" w:rsidP="00A54D32">
            <w:pPr>
              <w:keepLines/>
              <w:spacing w:before="40" w:after="40"/>
              <w:jc w:val="center"/>
              <w:rPr>
                <w:b/>
                <w:bCs/>
              </w:rPr>
            </w:pPr>
            <w:r>
              <w:rPr>
                <w:b/>
                <w:bCs/>
              </w:rPr>
              <w:t>te</w:t>
            </w:r>
          </w:p>
        </w:tc>
        <w:tc>
          <w:tcPr>
            <w:tcW w:w="4762" w:type="dxa"/>
            <w:tcBorders>
              <w:top w:val="single" w:sz="6" w:space="0" w:color="auto"/>
              <w:left w:val="single" w:sz="6" w:space="0" w:color="auto"/>
              <w:bottom w:val="single" w:sz="6" w:space="0" w:color="auto"/>
              <w:right w:val="single" w:sz="6" w:space="0" w:color="auto"/>
            </w:tcBorders>
          </w:tcPr>
          <w:p w14:paraId="2D3BF554" w14:textId="36B5EA1B" w:rsidR="00863150" w:rsidRPr="00F95985" w:rsidRDefault="00C65079" w:rsidP="00A54D32">
            <w:pPr>
              <w:keepLines/>
              <w:spacing w:before="40" w:after="40"/>
              <w:jc w:val="left"/>
            </w:pPr>
            <w:r w:rsidRPr="00F95985">
              <w:t xml:space="preserve">A clearer summary of the </w:t>
            </w:r>
            <w:r w:rsidR="0052029E" w:rsidRPr="00F95985">
              <w:t>data sources</w:t>
            </w:r>
            <w:r w:rsidRPr="00F95985">
              <w:t xml:space="preserve">, </w:t>
            </w:r>
            <w:r w:rsidR="00282BC0" w:rsidRPr="00F95985">
              <w:t xml:space="preserve">data age, </w:t>
            </w:r>
            <w:r w:rsidRPr="00F95985">
              <w:t xml:space="preserve">assumptions, </w:t>
            </w:r>
            <w:r w:rsidR="0052029E" w:rsidRPr="00F95985">
              <w:t xml:space="preserve">and potential limitations of </w:t>
            </w:r>
            <w:r w:rsidRPr="00F95985">
              <w:t xml:space="preserve">the different variables (such as </w:t>
            </w:r>
            <w:r w:rsidR="00282BC0" w:rsidRPr="00F95985">
              <w:t xml:space="preserve">population distribution, population growth, road network, </w:t>
            </w:r>
            <w:r w:rsidR="0052029E" w:rsidRPr="00F95985">
              <w:t>the fuel demand models</w:t>
            </w:r>
            <w:r w:rsidR="00F95985" w:rsidRPr="00F95985">
              <w:t>, etc.)</w:t>
            </w:r>
            <w:r w:rsidR="00034357">
              <w:t xml:space="preserve"> incorporated in this version of the MoFuSS model</w:t>
            </w:r>
            <w:r w:rsidR="00F95985" w:rsidRPr="00F95985">
              <w:t xml:space="preserve"> would be </w:t>
            </w:r>
            <w:r w:rsidR="00034357">
              <w:t xml:space="preserve">greatly </w:t>
            </w:r>
            <w:r w:rsidR="00F95985" w:rsidRPr="00F95985">
              <w:t>appreciated.</w:t>
            </w:r>
            <w:r w:rsidR="003B3C99" w:rsidRPr="00F95985">
              <w:t xml:space="preserve"> The source of the </w:t>
            </w:r>
            <w:r w:rsidR="00043647" w:rsidRPr="00F95985">
              <w:t>WHO projections for four African countries through 2050</w:t>
            </w:r>
            <w:r w:rsidR="002B3F18" w:rsidRPr="00F95985">
              <w:t xml:space="preserve"> (listed as “WHO’s Global HH Energy Model (2010-2050)” </w:t>
            </w:r>
            <w:r w:rsidR="00831F43">
              <w:t xml:space="preserve">in Figure 2 references </w:t>
            </w:r>
            <w:r w:rsidR="002B3F18" w:rsidRPr="00F95985">
              <w:t xml:space="preserve">an academic paper with </w:t>
            </w:r>
            <w:r w:rsidR="00D004B4" w:rsidRPr="00F95985">
              <w:t xml:space="preserve">estimations through 2030 and the WHO’s clean energy portal, which does not have any links matching that exact description, </w:t>
            </w:r>
            <w:r w:rsidR="00831F43">
              <w:t>making the exact data source</w:t>
            </w:r>
            <w:r w:rsidR="00D004B4" w:rsidRPr="00F95985">
              <w:t xml:space="preserve"> unclear.</w:t>
            </w:r>
          </w:p>
        </w:tc>
        <w:tc>
          <w:tcPr>
            <w:tcW w:w="4253" w:type="dxa"/>
            <w:tcBorders>
              <w:top w:val="single" w:sz="6" w:space="0" w:color="auto"/>
              <w:left w:val="single" w:sz="6" w:space="0" w:color="auto"/>
              <w:bottom w:val="single" w:sz="6" w:space="0" w:color="auto"/>
              <w:right w:val="single" w:sz="6" w:space="0" w:color="auto"/>
            </w:tcBorders>
          </w:tcPr>
          <w:p w14:paraId="07E798C0" w14:textId="77777777" w:rsidR="00863150" w:rsidRPr="003F2EBC" w:rsidRDefault="000A0BA0" w:rsidP="00A54D32">
            <w:pPr>
              <w:keepLines/>
              <w:spacing w:before="40" w:after="40"/>
              <w:jc w:val="left"/>
            </w:pPr>
            <w:r w:rsidRPr="003F2EBC">
              <w:t>Add a table or appendix with more specific information on the data sources, assumptions, and limitations for variables contributing to</w:t>
            </w:r>
            <w:r w:rsidR="003F2EBC" w:rsidRPr="003F2EBC">
              <w:t xml:space="preserve"> estimates of fuelwood demand, </w:t>
            </w:r>
            <w:r w:rsidRPr="003F2EBC">
              <w:t>similar to the example of Table 1 in the Ghilardi et al (2016)</w:t>
            </w:r>
            <w:r w:rsidR="003F2EBC" w:rsidRPr="003F2EBC">
              <w:t>.</w:t>
            </w:r>
          </w:p>
          <w:p w14:paraId="39223022" w14:textId="77777777" w:rsidR="003F2EBC" w:rsidRDefault="003F2EBC" w:rsidP="00A54D32">
            <w:pPr>
              <w:keepLines/>
              <w:spacing w:before="40" w:after="40"/>
              <w:jc w:val="left"/>
              <w:rPr>
                <w:b/>
                <w:bCs/>
              </w:rPr>
            </w:pPr>
          </w:p>
          <w:p w14:paraId="7FD6111F" w14:textId="7EA228E2" w:rsidR="003F2EBC" w:rsidRPr="003F2EBC" w:rsidRDefault="003F2EBC" w:rsidP="00A54D32">
            <w:pPr>
              <w:keepLines/>
              <w:spacing w:before="40" w:after="40"/>
              <w:jc w:val="left"/>
            </w:pPr>
            <w:r>
              <w:t xml:space="preserve">Proposed text: “For more information on </w:t>
            </w:r>
            <w:r w:rsidRPr="003F2EBC">
              <w:t>the data sources, assumptions, and limitations for variables contributing to estimates of fuelwood demand</w:t>
            </w:r>
            <w:r>
              <w:t>, see Table X”</w:t>
            </w:r>
          </w:p>
          <w:p w14:paraId="703F5CD2" w14:textId="035189D1" w:rsidR="003F2EBC" w:rsidRPr="00B94B14" w:rsidRDefault="003F2EBC" w:rsidP="00A54D32">
            <w:pPr>
              <w:keepLines/>
              <w:spacing w:before="40" w:after="40"/>
              <w:jc w:val="left"/>
              <w:rPr>
                <w:b/>
                <w:bCs/>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863150" w:rsidRPr="00B94B14" w:rsidRDefault="00863150" w:rsidP="00A54D32">
            <w:pPr>
              <w:keepLines/>
              <w:spacing w:before="40" w:after="40"/>
              <w:jc w:val="center"/>
              <w:rPr>
                <w:b/>
                <w:bCs/>
              </w:rPr>
            </w:pPr>
          </w:p>
        </w:tc>
      </w:tr>
      <w:tr w:rsidR="00863150" w:rsidRPr="00B94B14" w14:paraId="0554E67B"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424CB2D2" w14:textId="3BDDD05F" w:rsidR="00863150" w:rsidRPr="00B94B14" w:rsidRDefault="00097999" w:rsidP="00A54D32">
            <w:pPr>
              <w:keepLines/>
              <w:spacing w:before="40" w:after="40"/>
              <w:jc w:val="center"/>
              <w:rPr>
                <w:b/>
                <w:bCs/>
              </w:rPr>
            </w:pPr>
            <w:r>
              <w:rPr>
                <w:b/>
                <w:bCs/>
              </w:rPr>
              <w:lastRenderedPageBreak/>
              <w:t>5</w:t>
            </w:r>
          </w:p>
        </w:tc>
        <w:tc>
          <w:tcPr>
            <w:tcW w:w="1388" w:type="dxa"/>
            <w:tcBorders>
              <w:top w:val="single" w:sz="6" w:space="0" w:color="auto"/>
              <w:left w:val="single" w:sz="6" w:space="0" w:color="auto"/>
              <w:bottom w:val="single" w:sz="6" w:space="0" w:color="auto"/>
              <w:right w:val="single" w:sz="6" w:space="0" w:color="auto"/>
            </w:tcBorders>
          </w:tcPr>
          <w:p w14:paraId="1374F3E4" w14:textId="4EA1EFFE" w:rsidR="00863150" w:rsidRPr="00B94B14" w:rsidRDefault="003F2EBC" w:rsidP="00A54D32">
            <w:pPr>
              <w:keepLines/>
              <w:spacing w:before="40" w:after="40"/>
              <w:jc w:val="center"/>
              <w:rPr>
                <w:b/>
                <w:bCs/>
              </w:rPr>
            </w:pPr>
            <w:r>
              <w:rPr>
                <w:b/>
                <w:bCs/>
              </w:rPr>
              <w:t xml:space="preserve">Pages 6, 25, 31, 33, 35, and </w:t>
            </w:r>
            <w:r w:rsidR="00A43662">
              <w:rPr>
                <w:b/>
                <w:bCs/>
              </w:rPr>
              <w:t>37</w:t>
            </w:r>
          </w:p>
        </w:tc>
        <w:tc>
          <w:tcPr>
            <w:tcW w:w="1022" w:type="dxa"/>
            <w:tcBorders>
              <w:top w:val="single" w:sz="6" w:space="0" w:color="auto"/>
              <w:left w:val="single" w:sz="6" w:space="0" w:color="auto"/>
              <w:bottom w:val="single" w:sz="6" w:space="0" w:color="auto"/>
              <w:right w:val="single" w:sz="6" w:space="0" w:color="auto"/>
            </w:tcBorders>
          </w:tcPr>
          <w:p w14:paraId="08BD1DE4" w14:textId="77777777" w:rsidR="00863150" w:rsidRPr="00B94B14" w:rsidRDefault="00863150" w:rsidP="00A54D32">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5A305FCF" w14:textId="70469C8A" w:rsidR="00863150" w:rsidRPr="00B94B14" w:rsidRDefault="00A6149C" w:rsidP="00A54D32">
            <w:pPr>
              <w:keepLines/>
              <w:spacing w:before="40" w:after="40"/>
              <w:jc w:val="center"/>
              <w:rPr>
                <w:b/>
                <w:bCs/>
              </w:rPr>
            </w:pPr>
            <w:r>
              <w:rPr>
                <w:b/>
                <w:bCs/>
              </w:rPr>
              <w:t>t</w:t>
            </w:r>
            <w:r w:rsidR="00937AB0">
              <w:rPr>
                <w:b/>
                <w:bCs/>
              </w:rPr>
              <w:t>e</w:t>
            </w:r>
            <w:r>
              <w:rPr>
                <w:b/>
                <w:bCs/>
              </w:rPr>
              <w:t>/ed</w:t>
            </w:r>
          </w:p>
        </w:tc>
        <w:tc>
          <w:tcPr>
            <w:tcW w:w="4762" w:type="dxa"/>
            <w:tcBorders>
              <w:top w:val="single" w:sz="6" w:space="0" w:color="auto"/>
              <w:left w:val="single" w:sz="6" w:space="0" w:color="auto"/>
              <w:bottom w:val="single" w:sz="6" w:space="0" w:color="auto"/>
              <w:right w:val="single" w:sz="6" w:space="0" w:color="auto"/>
            </w:tcBorders>
          </w:tcPr>
          <w:p w14:paraId="72019FFA" w14:textId="06A8E3FC" w:rsidR="00863150" w:rsidRPr="00BA2A3D" w:rsidRDefault="00A06204" w:rsidP="00A06204">
            <w:pPr>
              <w:keepLines/>
              <w:spacing w:before="40" w:after="40"/>
              <w:jc w:val="left"/>
            </w:pPr>
            <w:r w:rsidRPr="00BA2A3D">
              <w:t xml:space="preserve">Clarification on </w:t>
            </w:r>
            <w:r w:rsidR="00937AB0" w:rsidRPr="00BA2A3D">
              <w:t>t</w:t>
            </w:r>
            <w:r w:rsidRPr="00BA2A3D">
              <w:t xml:space="preserve">he extent to which commercial woodfuel is accounted for </w:t>
            </w:r>
            <w:r w:rsidR="00121151" w:rsidRPr="00BA2A3D">
              <w:t>(</w:t>
            </w:r>
            <w:r w:rsidRPr="00BA2A3D">
              <w:t>pages 6 and 25</w:t>
            </w:r>
            <w:r w:rsidR="00F2304D" w:rsidRPr="00BA2A3D">
              <w:t xml:space="preserve"> </w:t>
            </w:r>
            <w:r w:rsidRPr="00BA2A3D">
              <w:t>imply that commercial woodfuel is not accounted for</w:t>
            </w:r>
            <w:r w:rsidR="00F2304D" w:rsidRPr="00BA2A3D">
              <w:t xml:space="preserve"> in these simulations</w:t>
            </w:r>
            <w:r w:rsidRPr="00BA2A3D">
              <w:t>; see pages 31, 33, 35, and 37 which are ambiguous or seem to imply they might be)</w:t>
            </w:r>
            <w:r w:rsidR="00A43662" w:rsidRPr="00BA2A3D">
              <w:t>.</w:t>
            </w:r>
            <w:r w:rsidR="002F355B" w:rsidRPr="00BA2A3D">
              <w:t xml:space="preserve"> For example:</w:t>
            </w:r>
          </w:p>
          <w:p w14:paraId="164AA172" w14:textId="77777777" w:rsidR="00A123FB" w:rsidRDefault="00A123FB" w:rsidP="00A06204">
            <w:pPr>
              <w:keepLines/>
              <w:spacing w:before="40" w:after="40"/>
              <w:jc w:val="left"/>
              <w:rPr>
                <w:color w:val="FF0000"/>
              </w:rPr>
            </w:pPr>
          </w:p>
          <w:p w14:paraId="5563F220" w14:textId="64E1AB47" w:rsidR="00A123FB" w:rsidRPr="00F2304D" w:rsidRDefault="00A123FB" w:rsidP="00A06204">
            <w:pPr>
              <w:keepLines/>
              <w:spacing w:before="40" w:after="40"/>
              <w:jc w:val="left"/>
            </w:pPr>
            <w:r w:rsidRPr="00F2304D">
              <w:t>“The MoFuSS model focuses primarily on residential woodfuel demand. In some countries, there may be industrial or commercial use of wood that affects tree cover. We do not include these sources of demand for three reasons” (p. 6</w:t>
            </w:r>
            <w:r w:rsidR="009A4CB3">
              <w:t>, p. 25</w:t>
            </w:r>
            <w:r w:rsidRPr="00F2304D">
              <w:t>)</w:t>
            </w:r>
          </w:p>
          <w:p w14:paraId="737B3A9A" w14:textId="77777777" w:rsidR="00121151" w:rsidRPr="00F2304D" w:rsidRDefault="00121151" w:rsidP="00A06204">
            <w:pPr>
              <w:keepLines/>
              <w:spacing w:before="40" w:after="40"/>
              <w:jc w:val="left"/>
            </w:pPr>
          </w:p>
          <w:p w14:paraId="3E9E4735" w14:textId="7C7FB173" w:rsidR="00121151" w:rsidRPr="00F2304D" w:rsidRDefault="00121151" w:rsidP="00A06204">
            <w:pPr>
              <w:keepLines/>
              <w:spacing w:before="40" w:after="40"/>
              <w:jc w:val="left"/>
            </w:pPr>
            <w:r w:rsidRPr="00F2304D">
              <w:t>“To accommodate these changes, we generated 267 million accessibility maps needed to account for changing population distribution using self-collected and commercial woodfuels across SSA between 2010 and 2050” (p. 31)</w:t>
            </w:r>
          </w:p>
          <w:p w14:paraId="0CD879F2" w14:textId="360F60F8" w:rsidR="00A123FB" w:rsidRPr="00A43662" w:rsidRDefault="00A123FB" w:rsidP="00A06204">
            <w:pPr>
              <w:keepLines/>
              <w:spacing w:before="40" w:after="40"/>
              <w:jc w:val="left"/>
              <w:rPr>
                <w:color w:val="FF0000"/>
              </w:rPr>
            </w:pPr>
          </w:p>
        </w:tc>
        <w:tc>
          <w:tcPr>
            <w:tcW w:w="4253" w:type="dxa"/>
            <w:tcBorders>
              <w:top w:val="single" w:sz="6" w:space="0" w:color="auto"/>
              <w:left w:val="single" w:sz="6" w:space="0" w:color="auto"/>
              <w:bottom w:val="single" w:sz="6" w:space="0" w:color="auto"/>
              <w:right w:val="single" w:sz="6" w:space="0" w:color="auto"/>
            </w:tcBorders>
          </w:tcPr>
          <w:p w14:paraId="1857CE12" w14:textId="77777777" w:rsidR="00863150" w:rsidRDefault="00937AB0" w:rsidP="00A54D32">
            <w:pPr>
              <w:keepLines/>
              <w:spacing w:before="40" w:after="40"/>
              <w:jc w:val="left"/>
            </w:pPr>
            <w:r w:rsidRPr="00614A44">
              <w:t>Incorporate commercial fuelwood use</w:t>
            </w:r>
            <w:r w:rsidR="00614A44" w:rsidRPr="00614A44">
              <w:t xml:space="preserve"> and/or</w:t>
            </w:r>
            <w:r w:rsidR="00F2304D" w:rsidRPr="00614A44">
              <w:t xml:space="preserve"> change </w:t>
            </w:r>
            <w:r w:rsidR="00614A44" w:rsidRPr="00614A44">
              <w:t>the language referring to commercial fuelwood use throughout to eliminate ambiguity.</w:t>
            </w:r>
          </w:p>
          <w:p w14:paraId="5E738D39" w14:textId="77777777" w:rsidR="00B24862" w:rsidRDefault="00B24862" w:rsidP="00A54D32">
            <w:pPr>
              <w:keepLines/>
              <w:spacing w:before="40" w:after="40"/>
              <w:jc w:val="left"/>
            </w:pPr>
          </w:p>
          <w:p w14:paraId="67CAE20C" w14:textId="72992B84" w:rsidR="00B24862" w:rsidRPr="00614A44" w:rsidRDefault="00B24862" w:rsidP="00A54D32">
            <w:pPr>
              <w:keepLines/>
              <w:spacing w:before="40" w:after="40"/>
              <w:jc w:val="left"/>
            </w:pPr>
            <w:r>
              <w:t>Proposed text: “The MoFuSS model has been revised to include the effects of commercial woodfuel harvesting on fNRB calculations.”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863150" w:rsidRPr="00B94B14" w:rsidRDefault="00863150" w:rsidP="00A54D32">
            <w:pPr>
              <w:keepLines/>
              <w:spacing w:before="40" w:after="40"/>
              <w:jc w:val="center"/>
              <w:rPr>
                <w:b/>
                <w:bCs/>
              </w:rPr>
            </w:pPr>
          </w:p>
        </w:tc>
      </w:tr>
      <w:tr w:rsidR="00863150" w:rsidRPr="00B94B14" w14:paraId="0E02DDE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51ABDA6" w14:textId="6C5DE2D5" w:rsidR="00863150" w:rsidRPr="00B94B14" w:rsidRDefault="00097999" w:rsidP="00A54D32">
            <w:pPr>
              <w:keepLines/>
              <w:spacing w:before="40" w:after="40"/>
              <w:jc w:val="center"/>
              <w:rPr>
                <w:b/>
                <w:bCs/>
              </w:rPr>
            </w:pPr>
            <w:r>
              <w:rPr>
                <w:b/>
                <w:bCs/>
              </w:rPr>
              <w:lastRenderedPageBreak/>
              <w:t>6</w:t>
            </w:r>
          </w:p>
        </w:tc>
        <w:tc>
          <w:tcPr>
            <w:tcW w:w="1388" w:type="dxa"/>
            <w:tcBorders>
              <w:top w:val="single" w:sz="6" w:space="0" w:color="auto"/>
              <w:left w:val="single" w:sz="6" w:space="0" w:color="auto"/>
              <w:bottom w:val="single" w:sz="6" w:space="0" w:color="auto"/>
              <w:right w:val="single" w:sz="6" w:space="0" w:color="auto"/>
            </w:tcBorders>
          </w:tcPr>
          <w:p w14:paraId="0DEA4F4B" w14:textId="6E5D787D" w:rsidR="00863150" w:rsidRPr="00B94B14" w:rsidRDefault="00E73DED" w:rsidP="00A54D32">
            <w:pPr>
              <w:keepLines/>
              <w:spacing w:before="40" w:after="40"/>
              <w:jc w:val="center"/>
              <w:rPr>
                <w:b/>
                <w:bCs/>
              </w:rPr>
            </w:pPr>
            <w:r>
              <w:rPr>
                <w:b/>
                <w:bCs/>
              </w:rPr>
              <w:t>Page 6</w:t>
            </w:r>
          </w:p>
        </w:tc>
        <w:tc>
          <w:tcPr>
            <w:tcW w:w="1022" w:type="dxa"/>
            <w:tcBorders>
              <w:top w:val="single" w:sz="6" w:space="0" w:color="auto"/>
              <w:left w:val="single" w:sz="6" w:space="0" w:color="auto"/>
              <w:bottom w:val="single" w:sz="6" w:space="0" w:color="auto"/>
              <w:right w:val="single" w:sz="6" w:space="0" w:color="auto"/>
            </w:tcBorders>
          </w:tcPr>
          <w:p w14:paraId="70F09662" w14:textId="77777777" w:rsidR="00863150" w:rsidRPr="00B94B14" w:rsidRDefault="00863150" w:rsidP="00A54D32">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58C618E6" w14:textId="58BF69F1" w:rsidR="00863150" w:rsidRPr="00B94B14" w:rsidRDefault="00E73DED" w:rsidP="00A54D32">
            <w:pPr>
              <w:keepLines/>
              <w:spacing w:before="40" w:after="40"/>
              <w:jc w:val="center"/>
              <w:rPr>
                <w:b/>
                <w:bCs/>
              </w:rPr>
            </w:pPr>
            <w:r>
              <w:rPr>
                <w:b/>
                <w:bCs/>
              </w:rPr>
              <w:t>te</w:t>
            </w:r>
          </w:p>
        </w:tc>
        <w:tc>
          <w:tcPr>
            <w:tcW w:w="4762" w:type="dxa"/>
            <w:tcBorders>
              <w:top w:val="single" w:sz="6" w:space="0" w:color="auto"/>
              <w:left w:val="single" w:sz="6" w:space="0" w:color="auto"/>
              <w:bottom w:val="single" w:sz="6" w:space="0" w:color="auto"/>
              <w:right w:val="single" w:sz="6" w:space="0" w:color="auto"/>
            </w:tcBorders>
          </w:tcPr>
          <w:p w14:paraId="42B60D97" w14:textId="5B6B60BB" w:rsidR="00863150" w:rsidRPr="00FB4807" w:rsidRDefault="00FB4807" w:rsidP="00A54D32">
            <w:pPr>
              <w:keepLines/>
              <w:spacing w:before="40" w:after="40"/>
              <w:jc w:val="left"/>
            </w:pPr>
            <w:r>
              <w:t xml:space="preserve">Does this model account for the anticipated expansion of road networks in the future? </w:t>
            </w:r>
            <w:r w:rsidR="00EA77D1">
              <w:t>Road expansion is likely to significantly improve access to currently difficult-to-reach sites, reducing the friction values and resulting in higher rates of harvesting further from rural areas.</w:t>
            </w:r>
          </w:p>
        </w:tc>
        <w:tc>
          <w:tcPr>
            <w:tcW w:w="4253" w:type="dxa"/>
            <w:tcBorders>
              <w:top w:val="single" w:sz="6" w:space="0" w:color="auto"/>
              <w:left w:val="single" w:sz="6" w:space="0" w:color="auto"/>
              <w:bottom w:val="single" w:sz="6" w:space="0" w:color="auto"/>
              <w:right w:val="single" w:sz="6" w:space="0" w:color="auto"/>
            </w:tcBorders>
          </w:tcPr>
          <w:p w14:paraId="5D34321F" w14:textId="0B5ABCEE" w:rsidR="00BE0F5B" w:rsidRPr="00BE0F5B" w:rsidRDefault="00EA77D1" w:rsidP="004C175C">
            <w:pPr>
              <w:keepLines/>
              <w:spacing w:before="40" w:after="40"/>
              <w:jc w:val="left"/>
            </w:pPr>
            <w:r>
              <w:t>Proposed text: “The MoFuSS model has been revised to include estimates of road network expansion, taking into account the increased ease of access in formerly hard-to-reach areas.”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673A80D" w14:textId="77777777" w:rsidR="00863150" w:rsidRPr="00B94B14" w:rsidRDefault="00863150" w:rsidP="00A54D32">
            <w:pPr>
              <w:keepLines/>
              <w:spacing w:before="40" w:after="40"/>
              <w:jc w:val="center"/>
              <w:rPr>
                <w:b/>
                <w:bCs/>
              </w:rPr>
            </w:pPr>
          </w:p>
        </w:tc>
      </w:tr>
      <w:tr w:rsidR="00A32D7F" w:rsidRPr="00B94B14" w14:paraId="5C9827B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08B9D2" w14:textId="125FC463" w:rsidR="00A32D7F" w:rsidRPr="00B94B14" w:rsidRDefault="00A32D7F" w:rsidP="00A32D7F">
            <w:pPr>
              <w:keepLines/>
              <w:spacing w:before="40" w:after="40"/>
              <w:jc w:val="center"/>
              <w:rPr>
                <w:b/>
                <w:bCs/>
              </w:rPr>
            </w:pPr>
            <w:r>
              <w:rPr>
                <w:b/>
                <w:bCs/>
              </w:rPr>
              <w:t>7</w:t>
            </w:r>
          </w:p>
        </w:tc>
        <w:tc>
          <w:tcPr>
            <w:tcW w:w="1388" w:type="dxa"/>
            <w:tcBorders>
              <w:top w:val="single" w:sz="6" w:space="0" w:color="auto"/>
              <w:left w:val="single" w:sz="6" w:space="0" w:color="auto"/>
              <w:bottom w:val="single" w:sz="6" w:space="0" w:color="auto"/>
              <w:right w:val="single" w:sz="6" w:space="0" w:color="auto"/>
            </w:tcBorders>
          </w:tcPr>
          <w:p w14:paraId="2CCD7645" w14:textId="212A23EC" w:rsidR="00A32D7F" w:rsidRPr="00B94B14" w:rsidRDefault="00A32D7F" w:rsidP="00A32D7F">
            <w:pPr>
              <w:keepLines/>
              <w:spacing w:before="40" w:after="40"/>
              <w:jc w:val="center"/>
              <w:rPr>
                <w:b/>
                <w:bCs/>
              </w:rPr>
            </w:pPr>
            <w:r>
              <w:rPr>
                <w:b/>
                <w:bCs/>
              </w:rPr>
              <w:t>Pages 36-48</w:t>
            </w:r>
          </w:p>
        </w:tc>
        <w:tc>
          <w:tcPr>
            <w:tcW w:w="1022" w:type="dxa"/>
            <w:tcBorders>
              <w:top w:val="single" w:sz="6" w:space="0" w:color="auto"/>
              <w:left w:val="single" w:sz="6" w:space="0" w:color="auto"/>
              <w:bottom w:val="single" w:sz="6" w:space="0" w:color="auto"/>
              <w:right w:val="single" w:sz="6" w:space="0" w:color="auto"/>
            </w:tcBorders>
          </w:tcPr>
          <w:p w14:paraId="613F0BC2" w14:textId="77777777" w:rsidR="00A32D7F" w:rsidRPr="00B94B14" w:rsidRDefault="00A32D7F" w:rsidP="00A32D7F">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4AB2F162" w14:textId="68B0D851" w:rsidR="00A32D7F" w:rsidRPr="00B94B14" w:rsidRDefault="00A32D7F" w:rsidP="00A32D7F">
            <w:pPr>
              <w:keepLines/>
              <w:spacing w:before="40" w:after="40"/>
              <w:jc w:val="center"/>
              <w:rPr>
                <w:b/>
                <w:bCs/>
              </w:rPr>
            </w:pPr>
            <w:r>
              <w:rPr>
                <w:b/>
                <w:bCs/>
              </w:rPr>
              <w:t>ge</w:t>
            </w:r>
          </w:p>
        </w:tc>
        <w:tc>
          <w:tcPr>
            <w:tcW w:w="4762" w:type="dxa"/>
            <w:tcBorders>
              <w:top w:val="single" w:sz="6" w:space="0" w:color="auto"/>
              <w:left w:val="single" w:sz="6" w:space="0" w:color="auto"/>
              <w:bottom w:val="single" w:sz="6" w:space="0" w:color="auto"/>
              <w:right w:val="single" w:sz="6" w:space="0" w:color="auto"/>
            </w:tcBorders>
          </w:tcPr>
          <w:p w14:paraId="4DE3299F" w14:textId="6367957B" w:rsidR="00A32D7F" w:rsidRPr="00B94B14" w:rsidRDefault="00A32D7F" w:rsidP="00A32D7F">
            <w:pPr>
              <w:keepLines/>
              <w:spacing w:before="40" w:after="40"/>
              <w:jc w:val="left"/>
              <w:rPr>
                <w:b/>
                <w:bCs/>
              </w:rPr>
            </w:pPr>
            <w:r w:rsidRPr="00C8651E">
              <w:t>Given the comments detailed above, it would be good to extend the comment period on this model and to give the MoFuSS team an extension to incorporate comments and re-run fNRB values before new fNRB values are accepted as final.</w:t>
            </w:r>
          </w:p>
        </w:tc>
        <w:tc>
          <w:tcPr>
            <w:tcW w:w="4253" w:type="dxa"/>
            <w:tcBorders>
              <w:top w:val="single" w:sz="6" w:space="0" w:color="auto"/>
              <w:left w:val="single" w:sz="6" w:space="0" w:color="auto"/>
              <w:bottom w:val="single" w:sz="6" w:space="0" w:color="auto"/>
              <w:right w:val="single" w:sz="6" w:space="0" w:color="auto"/>
            </w:tcBorders>
          </w:tcPr>
          <w:p w14:paraId="1EC09D9E" w14:textId="3170959D" w:rsidR="00A32D7F" w:rsidRPr="00B94B14" w:rsidRDefault="00A32D7F" w:rsidP="00A32D7F">
            <w:pPr>
              <w:keepLines/>
              <w:spacing w:before="40" w:after="40"/>
              <w:jc w:val="left"/>
              <w:rPr>
                <w:b/>
                <w:bCs/>
              </w:rPr>
            </w:pPr>
            <w:r w:rsidRPr="00BE0F5B">
              <w:t>Proposed text</w:t>
            </w:r>
            <w:r>
              <w:t xml:space="preserve">: </w:t>
            </w:r>
            <w:r w:rsidR="00EA77D1">
              <w:t>“</w:t>
            </w:r>
            <w:r>
              <w:t>The MoFuSS team strongly considered and incorporated comments received during the extended comment period (through January 26</w:t>
            </w:r>
            <w:r w:rsidRPr="00216BFC">
              <w:rPr>
                <w:vertAlign w:val="superscript"/>
              </w:rPr>
              <w:t>th</w:t>
            </w:r>
            <w:r>
              <w:t>, 2024). After incorporating the following comments (explain), the model was re-run, generating the following fNRB values….”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B7C9B" w14:textId="77777777" w:rsidR="00A32D7F" w:rsidRPr="00B94B14" w:rsidRDefault="00A32D7F" w:rsidP="00A32D7F">
            <w:pPr>
              <w:keepLines/>
              <w:spacing w:before="40" w:after="40"/>
              <w:jc w:val="center"/>
              <w:rPr>
                <w:b/>
                <w:bCs/>
              </w:rPr>
            </w:pPr>
          </w:p>
        </w:tc>
      </w:tr>
      <w:tr w:rsidR="00A32D7F" w:rsidRPr="00B94B14" w14:paraId="68B3B5E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5438766A" w14:textId="77777777" w:rsidR="00A32D7F" w:rsidRPr="00B94B14" w:rsidRDefault="00A32D7F" w:rsidP="00A32D7F">
            <w:pPr>
              <w:keepLines/>
              <w:spacing w:before="40" w:after="40"/>
              <w:jc w:val="center"/>
              <w:rPr>
                <w:b/>
                <w:bCs/>
              </w:rPr>
            </w:pPr>
          </w:p>
        </w:tc>
        <w:tc>
          <w:tcPr>
            <w:tcW w:w="1388" w:type="dxa"/>
            <w:tcBorders>
              <w:top w:val="single" w:sz="6" w:space="0" w:color="auto"/>
              <w:left w:val="single" w:sz="6" w:space="0" w:color="auto"/>
              <w:bottom w:val="single" w:sz="6" w:space="0" w:color="auto"/>
              <w:right w:val="single" w:sz="6" w:space="0" w:color="auto"/>
            </w:tcBorders>
          </w:tcPr>
          <w:p w14:paraId="15239FAB" w14:textId="77777777" w:rsidR="00A32D7F" w:rsidRPr="00B94B14" w:rsidRDefault="00A32D7F" w:rsidP="00A32D7F">
            <w:pPr>
              <w:keepLines/>
              <w:spacing w:before="40" w:after="40"/>
              <w:jc w:val="center"/>
              <w:rPr>
                <w:b/>
                <w:bCs/>
              </w:rPr>
            </w:pPr>
          </w:p>
        </w:tc>
        <w:tc>
          <w:tcPr>
            <w:tcW w:w="1022" w:type="dxa"/>
            <w:tcBorders>
              <w:top w:val="single" w:sz="6" w:space="0" w:color="auto"/>
              <w:left w:val="single" w:sz="6" w:space="0" w:color="auto"/>
              <w:bottom w:val="single" w:sz="6" w:space="0" w:color="auto"/>
              <w:right w:val="single" w:sz="6" w:space="0" w:color="auto"/>
            </w:tcBorders>
          </w:tcPr>
          <w:p w14:paraId="12B130D3" w14:textId="77777777" w:rsidR="00A32D7F" w:rsidRPr="00B94B14" w:rsidRDefault="00A32D7F" w:rsidP="00A32D7F">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32AACFFE" w14:textId="77777777" w:rsidR="00A32D7F" w:rsidRPr="00B94B14" w:rsidRDefault="00A32D7F" w:rsidP="00A32D7F">
            <w:pPr>
              <w:keepLines/>
              <w:spacing w:before="40" w:after="40"/>
              <w:jc w:val="center"/>
              <w:rPr>
                <w:b/>
                <w:bCs/>
              </w:rPr>
            </w:pPr>
          </w:p>
        </w:tc>
        <w:tc>
          <w:tcPr>
            <w:tcW w:w="4762" w:type="dxa"/>
            <w:tcBorders>
              <w:top w:val="single" w:sz="6" w:space="0" w:color="auto"/>
              <w:left w:val="single" w:sz="6" w:space="0" w:color="auto"/>
              <w:bottom w:val="single" w:sz="6" w:space="0" w:color="auto"/>
              <w:right w:val="single" w:sz="6" w:space="0" w:color="auto"/>
            </w:tcBorders>
          </w:tcPr>
          <w:p w14:paraId="5DFA05BC" w14:textId="77777777" w:rsidR="00A32D7F" w:rsidRPr="00B94B14" w:rsidRDefault="00A32D7F" w:rsidP="00A32D7F">
            <w:pPr>
              <w:keepLines/>
              <w:spacing w:before="40" w:after="40"/>
              <w:jc w:val="left"/>
              <w:rPr>
                <w:b/>
                <w:bCs/>
              </w:rPr>
            </w:pPr>
          </w:p>
        </w:tc>
        <w:tc>
          <w:tcPr>
            <w:tcW w:w="4253" w:type="dxa"/>
            <w:tcBorders>
              <w:top w:val="single" w:sz="6" w:space="0" w:color="auto"/>
              <w:left w:val="single" w:sz="6" w:space="0" w:color="auto"/>
              <w:bottom w:val="single" w:sz="6" w:space="0" w:color="auto"/>
              <w:right w:val="single" w:sz="6" w:space="0" w:color="auto"/>
            </w:tcBorders>
          </w:tcPr>
          <w:p w14:paraId="5BBADB8E" w14:textId="77777777" w:rsidR="00A32D7F" w:rsidRPr="00B94B14" w:rsidRDefault="00A32D7F" w:rsidP="00A32D7F">
            <w:pPr>
              <w:keepLines/>
              <w:spacing w:before="40" w:after="40"/>
              <w:jc w:val="left"/>
              <w:rPr>
                <w:b/>
                <w:bCs/>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85C3C2" w14:textId="77777777" w:rsidR="00A32D7F" w:rsidRPr="00B94B14" w:rsidRDefault="00A32D7F" w:rsidP="00A32D7F">
            <w:pPr>
              <w:keepLines/>
              <w:spacing w:before="40" w:after="40"/>
              <w:jc w:val="center"/>
              <w:rPr>
                <w:b/>
                <w:bCs/>
              </w:rPr>
            </w:pPr>
          </w:p>
        </w:tc>
      </w:tr>
      <w:tr w:rsidR="00A32D7F" w:rsidRPr="00B94B14" w14:paraId="27BA32E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5156433F" w14:textId="77777777" w:rsidR="00A32D7F" w:rsidRPr="00B94B14" w:rsidRDefault="00A32D7F" w:rsidP="00A32D7F">
            <w:pPr>
              <w:keepLines/>
              <w:spacing w:before="40" w:after="40"/>
              <w:jc w:val="center"/>
              <w:rPr>
                <w:b/>
                <w:bCs/>
              </w:rPr>
            </w:pPr>
          </w:p>
        </w:tc>
        <w:tc>
          <w:tcPr>
            <w:tcW w:w="1388" w:type="dxa"/>
            <w:tcBorders>
              <w:top w:val="single" w:sz="6" w:space="0" w:color="auto"/>
              <w:left w:val="single" w:sz="6" w:space="0" w:color="auto"/>
              <w:bottom w:val="single" w:sz="6" w:space="0" w:color="auto"/>
              <w:right w:val="single" w:sz="6" w:space="0" w:color="auto"/>
            </w:tcBorders>
          </w:tcPr>
          <w:p w14:paraId="755EAA0A" w14:textId="77777777" w:rsidR="00A32D7F" w:rsidRPr="00B94B14" w:rsidRDefault="00A32D7F" w:rsidP="00A32D7F">
            <w:pPr>
              <w:keepLines/>
              <w:spacing w:before="40" w:after="40"/>
              <w:jc w:val="center"/>
              <w:rPr>
                <w:b/>
                <w:bCs/>
              </w:rPr>
            </w:pPr>
          </w:p>
        </w:tc>
        <w:tc>
          <w:tcPr>
            <w:tcW w:w="1022" w:type="dxa"/>
            <w:tcBorders>
              <w:top w:val="single" w:sz="6" w:space="0" w:color="auto"/>
              <w:left w:val="single" w:sz="6" w:space="0" w:color="auto"/>
              <w:bottom w:val="single" w:sz="6" w:space="0" w:color="auto"/>
              <w:right w:val="single" w:sz="6" w:space="0" w:color="auto"/>
            </w:tcBorders>
          </w:tcPr>
          <w:p w14:paraId="4BAE3FE3" w14:textId="77777777" w:rsidR="00A32D7F" w:rsidRPr="00B94B14" w:rsidRDefault="00A32D7F" w:rsidP="00A32D7F">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76D5C3D9" w14:textId="77777777" w:rsidR="00A32D7F" w:rsidRPr="00B94B14" w:rsidRDefault="00A32D7F" w:rsidP="00A32D7F">
            <w:pPr>
              <w:keepLines/>
              <w:spacing w:before="40" w:after="40"/>
              <w:jc w:val="center"/>
              <w:rPr>
                <w:b/>
                <w:bCs/>
              </w:rPr>
            </w:pPr>
          </w:p>
        </w:tc>
        <w:tc>
          <w:tcPr>
            <w:tcW w:w="4762" w:type="dxa"/>
            <w:tcBorders>
              <w:top w:val="single" w:sz="6" w:space="0" w:color="auto"/>
              <w:left w:val="single" w:sz="6" w:space="0" w:color="auto"/>
              <w:bottom w:val="single" w:sz="6" w:space="0" w:color="auto"/>
              <w:right w:val="single" w:sz="6" w:space="0" w:color="auto"/>
            </w:tcBorders>
          </w:tcPr>
          <w:p w14:paraId="01C75A9D" w14:textId="77777777" w:rsidR="00A32D7F" w:rsidRPr="00B94B14" w:rsidRDefault="00A32D7F" w:rsidP="00A32D7F">
            <w:pPr>
              <w:keepLines/>
              <w:spacing w:before="40" w:after="40"/>
              <w:jc w:val="left"/>
              <w:rPr>
                <w:b/>
                <w:bCs/>
              </w:rPr>
            </w:pPr>
          </w:p>
        </w:tc>
        <w:tc>
          <w:tcPr>
            <w:tcW w:w="4253" w:type="dxa"/>
            <w:tcBorders>
              <w:top w:val="single" w:sz="6" w:space="0" w:color="auto"/>
              <w:left w:val="single" w:sz="6" w:space="0" w:color="auto"/>
              <w:bottom w:val="single" w:sz="6" w:space="0" w:color="auto"/>
              <w:right w:val="single" w:sz="6" w:space="0" w:color="auto"/>
            </w:tcBorders>
          </w:tcPr>
          <w:p w14:paraId="57EBF966" w14:textId="77777777" w:rsidR="00A32D7F" w:rsidRPr="00B94B14" w:rsidRDefault="00A32D7F" w:rsidP="00A32D7F">
            <w:pPr>
              <w:keepLines/>
              <w:spacing w:before="40" w:after="40"/>
              <w:jc w:val="left"/>
              <w:rPr>
                <w:b/>
                <w:bCs/>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2CB9906" w14:textId="77777777" w:rsidR="00A32D7F" w:rsidRPr="00B94B14" w:rsidRDefault="00A32D7F" w:rsidP="00A32D7F">
            <w:pPr>
              <w:keepLines/>
              <w:spacing w:before="40" w:after="40"/>
              <w:jc w:val="center"/>
              <w:rPr>
                <w:b/>
                <w:bCs/>
              </w:rPr>
            </w:pPr>
          </w:p>
        </w:tc>
      </w:tr>
      <w:tr w:rsidR="00A32D7F" w:rsidRPr="00B94B14" w14:paraId="7E97068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D408D55" w14:textId="77777777" w:rsidR="00A32D7F" w:rsidRPr="00B94B14" w:rsidRDefault="00A32D7F" w:rsidP="00A32D7F">
            <w:pPr>
              <w:keepLines/>
              <w:spacing w:before="40" w:after="40"/>
              <w:jc w:val="center"/>
              <w:rPr>
                <w:b/>
                <w:bCs/>
              </w:rPr>
            </w:pPr>
          </w:p>
        </w:tc>
        <w:tc>
          <w:tcPr>
            <w:tcW w:w="1388" w:type="dxa"/>
            <w:tcBorders>
              <w:top w:val="single" w:sz="6" w:space="0" w:color="auto"/>
              <w:left w:val="single" w:sz="6" w:space="0" w:color="auto"/>
              <w:bottom w:val="single" w:sz="6" w:space="0" w:color="auto"/>
              <w:right w:val="single" w:sz="6" w:space="0" w:color="auto"/>
            </w:tcBorders>
          </w:tcPr>
          <w:p w14:paraId="207ACA8D" w14:textId="77777777" w:rsidR="00A32D7F" w:rsidRPr="00B94B14" w:rsidRDefault="00A32D7F" w:rsidP="00A32D7F">
            <w:pPr>
              <w:keepLines/>
              <w:spacing w:before="40" w:after="40"/>
              <w:jc w:val="center"/>
              <w:rPr>
                <w:b/>
                <w:bCs/>
              </w:rPr>
            </w:pPr>
          </w:p>
        </w:tc>
        <w:tc>
          <w:tcPr>
            <w:tcW w:w="1022" w:type="dxa"/>
            <w:tcBorders>
              <w:top w:val="single" w:sz="6" w:space="0" w:color="auto"/>
              <w:left w:val="single" w:sz="6" w:space="0" w:color="auto"/>
              <w:bottom w:val="single" w:sz="6" w:space="0" w:color="auto"/>
              <w:right w:val="single" w:sz="6" w:space="0" w:color="auto"/>
            </w:tcBorders>
          </w:tcPr>
          <w:p w14:paraId="21B94071" w14:textId="77777777" w:rsidR="00A32D7F" w:rsidRPr="00B94B14" w:rsidRDefault="00A32D7F" w:rsidP="00A32D7F">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5AE9F1E3" w14:textId="77777777" w:rsidR="00A32D7F" w:rsidRPr="00B94B14" w:rsidRDefault="00A32D7F" w:rsidP="00A32D7F">
            <w:pPr>
              <w:keepLines/>
              <w:spacing w:before="40" w:after="40"/>
              <w:jc w:val="center"/>
              <w:rPr>
                <w:b/>
                <w:bCs/>
              </w:rPr>
            </w:pPr>
          </w:p>
        </w:tc>
        <w:tc>
          <w:tcPr>
            <w:tcW w:w="4762" w:type="dxa"/>
            <w:tcBorders>
              <w:top w:val="single" w:sz="6" w:space="0" w:color="auto"/>
              <w:left w:val="single" w:sz="6" w:space="0" w:color="auto"/>
              <w:bottom w:val="single" w:sz="6" w:space="0" w:color="auto"/>
              <w:right w:val="single" w:sz="6" w:space="0" w:color="auto"/>
            </w:tcBorders>
          </w:tcPr>
          <w:p w14:paraId="5BF16C34" w14:textId="77777777" w:rsidR="00A32D7F" w:rsidRPr="00B94B14" w:rsidRDefault="00A32D7F" w:rsidP="00A32D7F">
            <w:pPr>
              <w:keepLines/>
              <w:spacing w:before="40" w:after="40"/>
              <w:jc w:val="left"/>
              <w:rPr>
                <w:b/>
                <w:bCs/>
              </w:rPr>
            </w:pPr>
          </w:p>
        </w:tc>
        <w:tc>
          <w:tcPr>
            <w:tcW w:w="4253" w:type="dxa"/>
            <w:tcBorders>
              <w:top w:val="single" w:sz="6" w:space="0" w:color="auto"/>
              <w:left w:val="single" w:sz="6" w:space="0" w:color="auto"/>
              <w:bottom w:val="single" w:sz="6" w:space="0" w:color="auto"/>
              <w:right w:val="single" w:sz="6" w:space="0" w:color="auto"/>
            </w:tcBorders>
          </w:tcPr>
          <w:p w14:paraId="57D0DF74" w14:textId="77777777" w:rsidR="00A32D7F" w:rsidRPr="00B94B14" w:rsidRDefault="00A32D7F" w:rsidP="00A32D7F">
            <w:pPr>
              <w:keepLines/>
              <w:spacing w:before="40" w:after="40"/>
              <w:jc w:val="left"/>
              <w:rPr>
                <w:b/>
                <w:bCs/>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31959CF" w14:textId="77777777" w:rsidR="00A32D7F" w:rsidRPr="00B94B14" w:rsidRDefault="00A32D7F" w:rsidP="00A32D7F">
            <w:pPr>
              <w:keepLines/>
              <w:spacing w:before="40" w:after="40"/>
              <w:jc w:val="center"/>
              <w:rPr>
                <w:b/>
                <w:bCs/>
              </w:rPr>
            </w:pPr>
          </w:p>
        </w:tc>
      </w:tr>
      <w:tr w:rsidR="00A32D7F" w:rsidRPr="00B94B14" w14:paraId="3B9D658A"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02E363D0" w14:textId="77777777" w:rsidR="00A32D7F" w:rsidRPr="00B94B14" w:rsidRDefault="00A32D7F" w:rsidP="00A32D7F">
            <w:pPr>
              <w:keepLines/>
              <w:spacing w:before="40" w:after="40"/>
              <w:jc w:val="center"/>
              <w:rPr>
                <w:b/>
                <w:bCs/>
              </w:rPr>
            </w:pPr>
          </w:p>
        </w:tc>
        <w:tc>
          <w:tcPr>
            <w:tcW w:w="1388" w:type="dxa"/>
            <w:tcBorders>
              <w:top w:val="single" w:sz="6" w:space="0" w:color="auto"/>
              <w:left w:val="single" w:sz="6" w:space="0" w:color="auto"/>
              <w:bottom w:val="single" w:sz="6" w:space="0" w:color="auto"/>
              <w:right w:val="single" w:sz="6" w:space="0" w:color="auto"/>
            </w:tcBorders>
          </w:tcPr>
          <w:p w14:paraId="6878CE18" w14:textId="77777777" w:rsidR="00A32D7F" w:rsidRPr="00B94B14" w:rsidRDefault="00A32D7F" w:rsidP="00A32D7F">
            <w:pPr>
              <w:keepLines/>
              <w:spacing w:before="40" w:after="40"/>
              <w:jc w:val="center"/>
              <w:rPr>
                <w:b/>
                <w:bCs/>
              </w:rPr>
            </w:pPr>
          </w:p>
        </w:tc>
        <w:tc>
          <w:tcPr>
            <w:tcW w:w="1022" w:type="dxa"/>
            <w:tcBorders>
              <w:top w:val="single" w:sz="6" w:space="0" w:color="auto"/>
              <w:left w:val="single" w:sz="6" w:space="0" w:color="auto"/>
              <w:bottom w:val="single" w:sz="6" w:space="0" w:color="auto"/>
              <w:right w:val="single" w:sz="6" w:space="0" w:color="auto"/>
            </w:tcBorders>
          </w:tcPr>
          <w:p w14:paraId="7D875D03" w14:textId="77777777" w:rsidR="00A32D7F" w:rsidRPr="00B94B14" w:rsidRDefault="00A32D7F" w:rsidP="00A32D7F">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4D083B51" w14:textId="77777777" w:rsidR="00A32D7F" w:rsidRPr="00B94B14" w:rsidRDefault="00A32D7F" w:rsidP="00A32D7F">
            <w:pPr>
              <w:keepLines/>
              <w:spacing w:before="40" w:after="40"/>
              <w:jc w:val="center"/>
              <w:rPr>
                <w:b/>
                <w:bCs/>
              </w:rPr>
            </w:pPr>
          </w:p>
        </w:tc>
        <w:tc>
          <w:tcPr>
            <w:tcW w:w="4762" w:type="dxa"/>
            <w:tcBorders>
              <w:top w:val="single" w:sz="6" w:space="0" w:color="auto"/>
              <w:left w:val="single" w:sz="6" w:space="0" w:color="auto"/>
              <w:bottom w:val="single" w:sz="6" w:space="0" w:color="auto"/>
              <w:right w:val="single" w:sz="6" w:space="0" w:color="auto"/>
            </w:tcBorders>
          </w:tcPr>
          <w:p w14:paraId="4FD87CC0" w14:textId="77777777" w:rsidR="00A32D7F" w:rsidRPr="00B94B14" w:rsidRDefault="00A32D7F" w:rsidP="00A32D7F">
            <w:pPr>
              <w:keepLines/>
              <w:spacing w:before="40" w:after="40"/>
              <w:jc w:val="left"/>
              <w:rPr>
                <w:b/>
                <w:bCs/>
              </w:rPr>
            </w:pPr>
          </w:p>
        </w:tc>
        <w:tc>
          <w:tcPr>
            <w:tcW w:w="4253" w:type="dxa"/>
            <w:tcBorders>
              <w:top w:val="single" w:sz="6" w:space="0" w:color="auto"/>
              <w:left w:val="single" w:sz="6" w:space="0" w:color="auto"/>
              <w:bottom w:val="single" w:sz="6" w:space="0" w:color="auto"/>
              <w:right w:val="single" w:sz="6" w:space="0" w:color="auto"/>
            </w:tcBorders>
          </w:tcPr>
          <w:p w14:paraId="3F36A1EC" w14:textId="77777777" w:rsidR="00A32D7F" w:rsidRPr="00B94B14" w:rsidRDefault="00A32D7F" w:rsidP="00A32D7F">
            <w:pPr>
              <w:keepLines/>
              <w:spacing w:before="40" w:after="40"/>
              <w:jc w:val="left"/>
              <w:rPr>
                <w:b/>
                <w:bCs/>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DEEC236" w14:textId="77777777" w:rsidR="00A32D7F" w:rsidRPr="00B94B14" w:rsidRDefault="00A32D7F" w:rsidP="00A32D7F">
            <w:pPr>
              <w:keepLines/>
              <w:spacing w:before="40" w:after="40"/>
              <w:jc w:val="center"/>
              <w:rPr>
                <w:b/>
                <w:bCs/>
              </w:rPr>
            </w:pPr>
          </w:p>
        </w:tc>
      </w:tr>
      <w:tr w:rsidR="00A32D7F" w:rsidRPr="00B94B14" w14:paraId="40B8270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D2365" w14:textId="77777777" w:rsidR="00A32D7F" w:rsidRPr="00B94B14" w:rsidRDefault="00A32D7F" w:rsidP="00A32D7F">
            <w:pPr>
              <w:keepLines/>
              <w:spacing w:before="40" w:after="40"/>
              <w:jc w:val="center"/>
              <w:rPr>
                <w:b/>
                <w:bCs/>
              </w:rPr>
            </w:pPr>
          </w:p>
        </w:tc>
        <w:tc>
          <w:tcPr>
            <w:tcW w:w="1388" w:type="dxa"/>
            <w:tcBorders>
              <w:top w:val="single" w:sz="6" w:space="0" w:color="auto"/>
              <w:left w:val="single" w:sz="6" w:space="0" w:color="auto"/>
              <w:bottom w:val="single" w:sz="6" w:space="0" w:color="auto"/>
              <w:right w:val="single" w:sz="6" w:space="0" w:color="auto"/>
            </w:tcBorders>
          </w:tcPr>
          <w:p w14:paraId="4A539F60" w14:textId="77777777" w:rsidR="00A32D7F" w:rsidRPr="00B94B14" w:rsidRDefault="00A32D7F" w:rsidP="00A32D7F">
            <w:pPr>
              <w:keepLines/>
              <w:spacing w:before="40" w:after="40"/>
              <w:jc w:val="center"/>
              <w:rPr>
                <w:b/>
                <w:bCs/>
              </w:rPr>
            </w:pPr>
          </w:p>
        </w:tc>
        <w:tc>
          <w:tcPr>
            <w:tcW w:w="1022" w:type="dxa"/>
            <w:tcBorders>
              <w:top w:val="single" w:sz="6" w:space="0" w:color="auto"/>
              <w:left w:val="single" w:sz="6" w:space="0" w:color="auto"/>
              <w:bottom w:val="single" w:sz="6" w:space="0" w:color="auto"/>
              <w:right w:val="single" w:sz="6" w:space="0" w:color="auto"/>
            </w:tcBorders>
          </w:tcPr>
          <w:p w14:paraId="0515FCDF" w14:textId="77777777" w:rsidR="00A32D7F" w:rsidRPr="00B94B14" w:rsidRDefault="00A32D7F" w:rsidP="00A32D7F">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3792A611" w14:textId="77777777" w:rsidR="00A32D7F" w:rsidRPr="00B94B14" w:rsidRDefault="00A32D7F" w:rsidP="00A32D7F">
            <w:pPr>
              <w:keepLines/>
              <w:spacing w:before="40" w:after="40"/>
              <w:jc w:val="center"/>
              <w:rPr>
                <w:b/>
                <w:bCs/>
              </w:rPr>
            </w:pPr>
          </w:p>
        </w:tc>
        <w:tc>
          <w:tcPr>
            <w:tcW w:w="4762" w:type="dxa"/>
            <w:tcBorders>
              <w:top w:val="single" w:sz="6" w:space="0" w:color="auto"/>
              <w:left w:val="single" w:sz="6" w:space="0" w:color="auto"/>
              <w:bottom w:val="single" w:sz="6" w:space="0" w:color="auto"/>
              <w:right w:val="single" w:sz="6" w:space="0" w:color="auto"/>
            </w:tcBorders>
          </w:tcPr>
          <w:p w14:paraId="0FF9B6B7" w14:textId="77777777" w:rsidR="00A32D7F" w:rsidRPr="00B94B14" w:rsidRDefault="00A32D7F" w:rsidP="00A32D7F">
            <w:pPr>
              <w:keepLines/>
              <w:spacing w:before="40" w:after="40"/>
              <w:jc w:val="left"/>
              <w:rPr>
                <w:b/>
                <w:bCs/>
              </w:rPr>
            </w:pPr>
          </w:p>
        </w:tc>
        <w:tc>
          <w:tcPr>
            <w:tcW w:w="4253" w:type="dxa"/>
            <w:tcBorders>
              <w:top w:val="single" w:sz="6" w:space="0" w:color="auto"/>
              <w:left w:val="single" w:sz="6" w:space="0" w:color="auto"/>
              <w:bottom w:val="single" w:sz="6" w:space="0" w:color="auto"/>
              <w:right w:val="single" w:sz="6" w:space="0" w:color="auto"/>
            </w:tcBorders>
          </w:tcPr>
          <w:p w14:paraId="79E34A77" w14:textId="77777777" w:rsidR="00A32D7F" w:rsidRPr="00B94B14" w:rsidRDefault="00A32D7F" w:rsidP="00A32D7F">
            <w:pPr>
              <w:keepLines/>
              <w:spacing w:before="40" w:after="40"/>
              <w:jc w:val="left"/>
              <w:rPr>
                <w:b/>
                <w:bCs/>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A32D7F" w:rsidRPr="00B94B14" w:rsidRDefault="00A32D7F" w:rsidP="00A32D7F">
            <w:pPr>
              <w:keepLines/>
              <w:spacing w:before="40" w:after="40"/>
              <w:jc w:val="center"/>
              <w:rPr>
                <w:b/>
                <w:bCs/>
              </w:rPr>
            </w:pPr>
          </w:p>
        </w:tc>
      </w:tr>
      <w:tr w:rsidR="00A32D7F" w:rsidRPr="00B94B14" w14:paraId="62E5AA74"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73BF0B1D" w14:textId="77777777" w:rsidR="00A32D7F" w:rsidRPr="00B94B14" w:rsidRDefault="00A32D7F" w:rsidP="00A32D7F">
            <w:pPr>
              <w:keepLines/>
              <w:spacing w:before="40" w:after="40"/>
              <w:jc w:val="center"/>
              <w:rPr>
                <w:b/>
                <w:bCs/>
              </w:rPr>
            </w:pPr>
          </w:p>
        </w:tc>
        <w:tc>
          <w:tcPr>
            <w:tcW w:w="1388" w:type="dxa"/>
            <w:tcBorders>
              <w:top w:val="single" w:sz="6" w:space="0" w:color="auto"/>
              <w:left w:val="single" w:sz="6" w:space="0" w:color="auto"/>
              <w:bottom w:val="single" w:sz="6" w:space="0" w:color="auto"/>
              <w:right w:val="single" w:sz="6" w:space="0" w:color="auto"/>
            </w:tcBorders>
          </w:tcPr>
          <w:p w14:paraId="031A5F3C" w14:textId="77777777" w:rsidR="00A32D7F" w:rsidRPr="00B94B14" w:rsidRDefault="00A32D7F" w:rsidP="00A32D7F">
            <w:pPr>
              <w:keepLines/>
              <w:spacing w:before="40" w:after="40"/>
              <w:jc w:val="center"/>
              <w:rPr>
                <w:b/>
                <w:bCs/>
              </w:rPr>
            </w:pPr>
          </w:p>
        </w:tc>
        <w:tc>
          <w:tcPr>
            <w:tcW w:w="1022" w:type="dxa"/>
            <w:tcBorders>
              <w:top w:val="single" w:sz="6" w:space="0" w:color="auto"/>
              <w:left w:val="single" w:sz="6" w:space="0" w:color="auto"/>
              <w:bottom w:val="single" w:sz="6" w:space="0" w:color="auto"/>
              <w:right w:val="single" w:sz="6" w:space="0" w:color="auto"/>
            </w:tcBorders>
          </w:tcPr>
          <w:p w14:paraId="25C4327A" w14:textId="77777777" w:rsidR="00A32D7F" w:rsidRPr="00B94B14" w:rsidRDefault="00A32D7F" w:rsidP="00A32D7F">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72D13634" w14:textId="77777777" w:rsidR="00A32D7F" w:rsidRPr="00B94B14" w:rsidRDefault="00A32D7F" w:rsidP="00A32D7F">
            <w:pPr>
              <w:keepLines/>
              <w:spacing w:before="40" w:after="40"/>
              <w:jc w:val="center"/>
              <w:rPr>
                <w:b/>
                <w:bCs/>
              </w:rPr>
            </w:pPr>
          </w:p>
        </w:tc>
        <w:tc>
          <w:tcPr>
            <w:tcW w:w="4762" w:type="dxa"/>
            <w:tcBorders>
              <w:top w:val="single" w:sz="6" w:space="0" w:color="auto"/>
              <w:left w:val="single" w:sz="6" w:space="0" w:color="auto"/>
              <w:bottom w:val="single" w:sz="6" w:space="0" w:color="auto"/>
              <w:right w:val="single" w:sz="6" w:space="0" w:color="auto"/>
            </w:tcBorders>
          </w:tcPr>
          <w:p w14:paraId="5F196F76" w14:textId="77777777" w:rsidR="00A32D7F" w:rsidRPr="00B94B14" w:rsidRDefault="00A32D7F" w:rsidP="00A32D7F">
            <w:pPr>
              <w:keepLines/>
              <w:spacing w:before="40" w:after="40"/>
              <w:jc w:val="left"/>
              <w:rPr>
                <w:b/>
                <w:bCs/>
              </w:rPr>
            </w:pPr>
          </w:p>
        </w:tc>
        <w:tc>
          <w:tcPr>
            <w:tcW w:w="4253" w:type="dxa"/>
            <w:tcBorders>
              <w:top w:val="single" w:sz="6" w:space="0" w:color="auto"/>
              <w:left w:val="single" w:sz="6" w:space="0" w:color="auto"/>
              <w:bottom w:val="single" w:sz="6" w:space="0" w:color="auto"/>
              <w:right w:val="single" w:sz="6" w:space="0" w:color="auto"/>
            </w:tcBorders>
          </w:tcPr>
          <w:p w14:paraId="6DD5E465" w14:textId="77777777" w:rsidR="00A32D7F" w:rsidRPr="00B94B14" w:rsidRDefault="00A32D7F" w:rsidP="00A32D7F">
            <w:pPr>
              <w:keepLines/>
              <w:spacing w:before="40" w:after="40"/>
              <w:jc w:val="left"/>
              <w:rPr>
                <w:b/>
                <w:bCs/>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A32D7F" w:rsidRPr="00B94B14" w:rsidRDefault="00A32D7F" w:rsidP="00A32D7F">
            <w:pPr>
              <w:keepLines/>
              <w:spacing w:before="40" w:after="40"/>
              <w:jc w:val="center"/>
              <w:rPr>
                <w:b/>
                <w:bCs/>
              </w:rPr>
            </w:pPr>
          </w:p>
        </w:tc>
      </w:tr>
      <w:tr w:rsidR="00A32D7F" w:rsidRPr="00B94B14" w14:paraId="335D576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C90566" w14:textId="77777777" w:rsidR="00A32D7F" w:rsidRPr="00B94B14" w:rsidRDefault="00A32D7F" w:rsidP="00A32D7F">
            <w:pPr>
              <w:keepLines/>
              <w:spacing w:before="40" w:after="40"/>
              <w:jc w:val="center"/>
              <w:rPr>
                <w:b/>
                <w:bCs/>
              </w:rPr>
            </w:pPr>
          </w:p>
        </w:tc>
        <w:tc>
          <w:tcPr>
            <w:tcW w:w="1388" w:type="dxa"/>
            <w:tcBorders>
              <w:top w:val="single" w:sz="6" w:space="0" w:color="auto"/>
              <w:left w:val="single" w:sz="6" w:space="0" w:color="auto"/>
              <w:bottom w:val="single" w:sz="6" w:space="0" w:color="auto"/>
              <w:right w:val="single" w:sz="6" w:space="0" w:color="auto"/>
            </w:tcBorders>
          </w:tcPr>
          <w:p w14:paraId="7DE0EB0C" w14:textId="77777777" w:rsidR="00A32D7F" w:rsidRPr="00B94B14" w:rsidRDefault="00A32D7F" w:rsidP="00A32D7F">
            <w:pPr>
              <w:keepLines/>
              <w:spacing w:before="40" w:after="40"/>
              <w:jc w:val="center"/>
              <w:rPr>
                <w:b/>
                <w:bCs/>
              </w:rPr>
            </w:pPr>
          </w:p>
        </w:tc>
        <w:tc>
          <w:tcPr>
            <w:tcW w:w="1022" w:type="dxa"/>
            <w:tcBorders>
              <w:top w:val="single" w:sz="6" w:space="0" w:color="auto"/>
              <w:left w:val="single" w:sz="6" w:space="0" w:color="auto"/>
              <w:bottom w:val="single" w:sz="6" w:space="0" w:color="auto"/>
              <w:right w:val="single" w:sz="6" w:space="0" w:color="auto"/>
            </w:tcBorders>
          </w:tcPr>
          <w:p w14:paraId="38A63920" w14:textId="77777777" w:rsidR="00A32D7F" w:rsidRPr="00B94B14" w:rsidRDefault="00A32D7F" w:rsidP="00A32D7F">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5BEA4D93" w14:textId="77777777" w:rsidR="00A32D7F" w:rsidRPr="00B94B14" w:rsidRDefault="00A32D7F" w:rsidP="00A32D7F">
            <w:pPr>
              <w:keepLines/>
              <w:spacing w:before="40" w:after="40"/>
              <w:jc w:val="center"/>
              <w:rPr>
                <w:b/>
                <w:bCs/>
              </w:rPr>
            </w:pPr>
          </w:p>
        </w:tc>
        <w:tc>
          <w:tcPr>
            <w:tcW w:w="4762" w:type="dxa"/>
            <w:tcBorders>
              <w:top w:val="single" w:sz="6" w:space="0" w:color="auto"/>
              <w:left w:val="single" w:sz="6" w:space="0" w:color="auto"/>
              <w:bottom w:val="single" w:sz="6" w:space="0" w:color="auto"/>
              <w:right w:val="single" w:sz="6" w:space="0" w:color="auto"/>
            </w:tcBorders>
          </w:tcPr>
          <w:p w14:paraId="46AEEF25" w14:textId="77777777" w:rsidR="00A32D7F" w:rsidRPr="00B94B14" w:rsidRDefault="00A32D7F" w:rsidP="00A32D7F">
            <w:pPr>
              <w:keepLines/>
              <w:spacing w:before="40" w:after="40"/>
              <w:jc w:val="left"/>
              <w:rPr>
                <w:b/>
                <w:bCs/>
              </w:rPr>
            </w:pPr>
          </w:p>
        </w:tc>
        <w:tc>
          <w:tcPr>
            <w:tcW w:w="4253" w:type="dxa"/>
            <w:tcBorders>
              <w:top w:val="single" w:sz="6" w:space="0" w:color="auto"/>
              <w:left w:val="single" w:sz="6" w:space="0" w:color="auto"/>
              <w:bottom w:val="single" w:sz="6" w:space="0" w:color="auto"/>
              <w:right w:val="single" w:sz="6" w:space="0" w:color="auto"/>
            </w:tcBorders>
          </w:tcPr>
          <w:p w14:paraId="40194A1D" w14:textId="77777777" w:rsidR="00A32D7F" w:rsidRPr="00B94B14" w:rsidRDefault="00A32D7F" w:rsidP="00A32D7F">
            <w:pPr>
              <w:keepLines/>
              <w:spacing w:before="40" w:after="40"/>
              <w:jc w:val="left"/>
              <w:rPr>
                <w:b/>
                <w:bCs/>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A32D7F" w:rsidRPr="00B94B14" w:rsidRDefault="00A32D7F" w:rsidP="00A32D7F">
            <w:pPr>
              <w:keepLines/>
              <w:spacing w:before="40" w:after="40"/>
              <w:jc w:val="center"/>
              <w:rPr>
                <w:b/>
                <w:bCs/>
              </w:rPr>
            </w:pPr>
          </w:p>
        </w:tc>
      </w:tr>
      <w:tr w:rsidR="00A32D7F" w:rsidRPr="00B94B14" w14:paraId="48714BC3"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EEE2544" w14:textId="77777777" w:rsidR="00A32D7F" w:rsidRPr="00B94B14" w:rsidRDefault="00A32D7F" w:rsidP="00A32D7F">
            <w:pPr>
              <w:keepLines/>
              <w:spacing w:before="40" w:after="40"/>
              <w:jc w:val="center"/>
              <w:rPr>
                <w:b/>
                <w:bCs/>
              </w:rPr>
            </w:pPr>
          </w:p>
        </w:tc>
        <w:tc>
          <w:tcPr>
            <w:tcW w:w="1388" w:type="dxa"/>
            <w:tcBorders>
              <w:top w:val="single" w:sz="6" w:space="0" w:color="auto"/>
              <w:left w:val="single" w:sz="6" w:space="0" w:color="auto"/>
              <w:bottom w:val="single" w:sz="6" w:space="0" w:color="auto"/>
              <w:right w:val="single" w:sz="6" w:space="0" w:color="auto"/>
            </w:tcBorders>
          </w:tcPr>
          <w:p w14:paraId="3118734D" w14:textId="77777777" w:rsidR="00A32D7F" w:rsidRPr="00B94B14" w:rsidRDefault="00A32D7F" w:rsidP="00A32D7F">
            <w:pPr>
              <w:keepLines/>
              <w:spacing w:before="40" w:after="40"/>
              <w:jc w:val="center"/>
              <w:rPr>
                <w:b/>
                <w:bCs/>
              </w:rPr>
            </w:pPr>
          </w:p>
        </w:tc>
        <w:tc>
          <w:tcPr>
            <w:tcW w:w="1022" w:type="dxa"/>
            <w:tcBorders>
              <w:top w:val="single" w:sz="6" w:space="0" w:color="auto"/>
              <w:left w:val="single" w:sz="6" w:space="0" w:color="auto"/>
              <w:bottom w:val="single" w:sz="6" w:space="0" w:color="auto"/>
              <w:right w:val="single" w:sz="6" w:space="0" w:color="auto"/>
            </w:tcBorders>
          </w:tcPr>
          <w:p w14:paraId="120C2366" w14:textId="77777777" w:rsidR="00A32D7F" w:rsidRPr="00B94B14" w:rsidRDefault="00A32D7F" w:rsidP="00A32D7F">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76B6AC09" w14:textId="77777777" w:rsidR="00A32D7F" w:rsidRPr="00B94B14" w:rsidRDefault="00A32D7F" w:rsidP="00A32D7F">
            <w:pPr>
              <w:keepLines/>
              <w:spacing w:before="40" w:after="40"/>
              <w:jc w:val="center"/>
              <w:rPr>
                <w:b/>
                <w:bCs/>
              </w:rPr>
            </w:pPr>
          </w:p>
        </w:tc>
        <w:tc>
          <w:tcPr>
            <w:tcW w:w="4762" w:type="dxa"/>
            <w:tcBorders>
              <w:top w:val="single" w:sz="6" w:space="0" w:color="auto"/>
              <w:left w:val="single" w:sz="6" w:space="0" w:color="auto"/>
              <w:bottom w:val="single" w:sz="6" w:space="0" w:color="auto"/>
              <w:right w:val="single" w:sz="6" w:space="0" w:color="auto"/>
            </w:tcBorders>
          </w:tcPr>
          <w:p w14:paraId="58F2C702" w14:textId="77777777" w:rsidR="00A32D7F" w:rsidRPr="00B94B14" w:rsidRDefault="00A32D7F" w:rsidP="00A32D7F">
            <w:pPr>
              <w:keepLines/>
              <w:spacing w:before="40" w:after="40"/>
              <w:jc w:val="left"/>
              <w:rPr>
                <w:b/>
                <w:bCs/>
              </w:rPr>
            </w:pPr>
          </w:p>
        </w:tc>
        <w:tc>
          <w:tcPr>
            <w:tcW w:w="4253" w:type="dxa"/>
            <w:tcBorders>
              <w:top w:val="single" w:sz="6" w:space="0" w:color="auto"/>
              <w:left w:val="single" w:sz="6" w:space="0" w:color="auto"/>
              <w:bottom w:val="single" w:sz="6" w:space="0" w:color="auto"/>
              <w:right w:val="single" w:sz="6" w:space="0" w:color="auto"/>
            </w:tcBorders>
          </w:tcPr>
          <w:p w14:paraId="74C98DBC" w14:textId="77777777" w:rsidR="00A32D7F" w:rsidRPr="00B94B14" w:rsidRDefault="00A32D7F" w:rsidP="00A32D7F">
            <w:pPr>
              <w:keepLines/>
              <w:spacing w:before="40" w:after="40"/>
              <w:jc w:val="left"/>
              <w:rPr>
                <w:b/>
                <w:bCs/>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A32D7F" w:rsidRPr="00B94B14" w:rsidRDefault="00A32D7F" w:rsidP="00A32D7F">
            <w:pPr>
              <w:keepLines/>
              <w:spacing w:before="40" w:after="40"/>
              <w:jc w:val="center"/>
              <w:rPr>
                <w:b/>
                <w:bCs/>
              </w:rPr>
            </w:pPr>
          </w:p>
        </w:tc>
      </w:tr>
      <w:tr w:rsidR="00A32D7F" w:rsidRPr="00B94B14" w14:paraId="1E6174E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D74477D" w14:textId="77777777" w:rsidR="00A32D7F" w:rsidRPr="00B94B14" w:rsidRDefault="00A32D7F" w:rsidP="00A32D7F">
            <w:pPr>
              <w:keepLines/>
              <w:spacing w:before="40" w:after="40"/>
              <w:jc w:val="center"/>
              <w:rPr>
                <w:b/>
                <w:bCs/>
              </w:rPr>
            </w:pPr>
          </w:p>
        </w:tc>
        <w:tc>
          <w:tcPr>
            <w:tcW w:w="1388" w:type="dxa"/>
            <w:tcBorders>
              <w:top w:val="single" w:sz="6" w:space="0" w:color="auto"/>
              <w:left w:val="single" w:sz="6" w:space="0" w:color="auto"/>
              <w:bottom w:val="single" w:sz="6" w:space="0" w:color="auto"/>
              <w:right w:val="single" w:sz="6" w:space="0" w:color="auto"/>
            </w:tcBorders>
          </w:tcPr>
          <w:p w14:paraId="30E76379" w14:textId="77777777" w:rsidR="00A32D7F" w:rsidRPr="00B94B14" w:rsidRDefault="00A32D7F" w:rsidP="00A32D7F">
            <w:pPr>
              <w:keepLines/>
              <w:spacing w:before="40" w:after="40"/>
              <w:jc w:val="center"/>
              <w:rPr>
                <w:b/>
                <w:bCs/>
              </w:rPr>
            </w:pPr>
          </w:p>
        </w:tc>
        <w:tc>
          <w:tcPr>
            <w:tcW w:w="1022" w:type="dxa"/>
            <w:tcBorders>
              <w:top w:val="single" w:sz="6" w:space="0" w:color="auto"/>
              <w:left w:val="single" w:sz="6" w:space="0" w:color="auto"/>
              <w:bottom w:val="single" w:sz="6" w:space="0" w:color="auto"/>
              <w:right w:val="single" w:sz="6" w:space="0" w:color="auto"/>
            </w:tcBorders>
          </w:tcPr>
          <w:p w14:paraId="37DFE35D" w14:textId="77777777" w:rsidR="00A32D7F" w:rsidRPr="00B94B14" w:rsidRDefault="00A32D7F" w:rsidP="00A32D7F">
            <w:pPr>
              <w:keepLines/>
              <w:spacing w:before="40" w:after="40"/>
              <w:jc w:val="center"/>
              <w:rPr>
                <w:b/>
                <w:bCs/>
              </w:rPr>
            </w:pPr>
          </w:p>
        </w:tc>
        <w:tc>
          <w:tcPr>
            <w:tcW w:w="992" w:type="dxa"/>
            <w:tcBorders>
              <w:top w:val="single" w:sz="6" w:space="0" w:color="auto"/>
              <w:left w:val="single" w:sz="6" w:space="0" w:color="auto"/>
              <w:bottom w:val="single" w:sz="6" w:space="0" w:color="auto"/>
              <w:right w:val="single" w:sz="6" w:space="0" w:color="auto"/>
            </w:tcBorders>
          </w:tcPr>
          <w:p w14:paraId="2322286D" w14:textId="77777777" w:rsidR="00A32D7F" w:rsidRPr="00B94B14" w:rsidRDefault="00A32D7F" w:rsidP="00A32D7F">
            <w:pPr>
              <w:keepLines/>
              <w:spacing w:before="40" w:after="40"/>
              <w:jc w:val="center"/>
              <w:rPr>
                <w:b/>
                <w:bCs/>
              </w:rPr>
            </w:pPr>
          </w:p>
        </w:tc>
        <w:tc>
          <w:tcPr>
            <w:tcW w:w="4762" w:type="dxa"/>
            <w:tcBorders>
              <w:top w:val="single" w:sz="6" w:space="0" w:color="auto"/>
              <w:left w:val="single" w:sz="6" w:space="0" w:color="auto"/>
              <w:bottom w:val="single" w:sz="6" w:space="0" w:color="auto"/>
              <w:right w:val="single" w:sz="6" w:space="0" w:color="auto"/>
            </w:tcBorders>
          </w:tcPr>
          <w:p w14:paraId="70759591" w14:textId="77777777" w:rsidR="00A32D7F" w:rsidRPr="00B94B14" w:rsidRDefault="00A32D7F" w:rsidP="00A32D7F">
            <w:pPr>
              <w:keepLines/>
              <w:spacing w:before="40" w:after="40"/>
              <w:jc w:val="left"/>
              <w:rPr>
                <w:b/>
                <w:bCs/>
              </w:rPr>
            </w:pPr>
          </w:p>
        </w:tc>
        <w:tc>
          <w:tcPr>
            <w:tcW w:w="4253" w:type="dxa"/>
            <w:tcBorders>
              <w:top w:val="single" w:sz="6" w:space="0" w:color="auto"/>
              <w:left w:val="single" w:sz="6" w:space="0" w:color="auto"/>
              <w:bottom w:val="single" w:sz="6" w:space="0" w:color="auto"/>
              <w:right w:val="single" w:sz="6" w:space="0" w:color="auto"/>
            </w:tcBorders>
          </w:tcPr>
          <w:p w14:paraId="69F7CFD0" w14:textId="77777777" w:rsidR="00A32D7F" w:rsidRPr="00B94B14" w:rsidRDefault="00A32D7F" w:rsidP="00A32D7F">
            <w:pPr>
              <w:keepLines/>
              <w:spacing w:before="40" w:after="40"/>
              <w:jc w:val="left"/>
              <w:rPr>
                <w:b/>
                <w:bCs/>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2EC4D61" w14:textId="77777777" w:rsidR="00A32D7F" w:rsidRPr="00B94B14" w:rsidRDefault="00A32D7F" w:rsidP="00A32D7F">
            <w:pPr>
              <w:keepLines/>
              <w:spacing w:before="40" w:after="40"/>
              <w:jc w:val="center"/>
              <w:rPr>
                <w:b/>
                <w:bCs/>
              </w:rPr>
            </w:pPr>
          </w:p>
        </w:tc>
      </w:tr>
    </w:tbl>
    <w:p w14:paraId="1BCDB222" w14:textId="77777777" w:rsidR="00DF4F6B" w:rsidRPr="00B94B14" w:rsidRDefault="00DF4F6B" w:rsidP="00A54D32"/>
    <w:sectPr w:rsidR="00DF4F6B" w:rsidRPr="00B94B14">
      <w:headerReference w:type="default" r:id="rId12"/>
      <w:footerReference w:type="even" r:id="rId13"/>
      <w:footerReference w:type="default" r:id="rId14"/>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AD13" w14:textId="77777777" w:rsidR="006E2A1B" w:rsidRDefault="006E2A1B" w:rsidP="00DF4F6B">
      <w:r>
        <w:separator/>
      </w:r>
    </w:p>
  </w:endnote>
  <w:endnote w:type="continuationSeparator" w:id="0">
    <w:p w14:paraId="536A71A4" w14:textId="77777777" w:rsidR="006E2A1B" w:rsidRDefault="006E2A1B"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57B6" w14:textId="77777777" w:rsidR="006E2A1B" w:rsidRDefault="006E2A1B" w:rsidP="00DF4F6B">
      <w:r>
        <w:separator/>
      </w:r>
    </w:p>
  </w:footnote>
  <w:footnote w:type="continuationSeparator" w:id="0">
    <w:p w14:paraId="3CFDAA9A" w14:textId="77777777" w:rsidR="006E2A1B" w:rsidRDefault="006E2A1B" w:rsidP="00DF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116A3"/>
    <w:rsid w:val="00021856"/>
    <w:rsid w:val="00030428"/>
    <w:rsid w:val="00034357"/>
    <w:rsid w:val="00041B9A"/>
    <w:rsid w:val="00043647"/>
    <w:rsid w:val="00044598"/>
    <w:rsid w:val="00097999"/>
    <w:rsid w:val="000A0BA0"/>
    <w:rsid w:val="000D3B48"/>
    <w:rsid w:val="000D467D"/>
    <w:rsid w:val="000E2C99"/>
    <w:rsid w:val="0010781C"/>
    <w:rsid w:val="001202A2"/>
    <w:rsid w:val="00120316"/>
    <w:rsid w:val="00121151"/>
    <w:rsid w:val="00122946"/>
    <w:rsid w:val="001452D4"/>
    <w:rsid w:val="001A762F"/>
    <w:rsid w:val="001B4B4B"/>
    <w:rsid w:val="001D0F91"/>
    <w:rsid w:val="001D42C3"/>
    <w:rsid w:val="001E3876"/>
    <w:rsid w:val="001E56DE"/>
    <w:rsid w:val="00216BFC"/>
    <w:rsid w:val="00254652"/>
    <w:rsid w:val="002567C3"/>
    <w:rsid w:val="00282BC0"/>
    <w:rsid w:val="002B04C2"/>
    <w:rsid w:val="002B3F18"/>
    <w:rsid w:val="002C7269"/>
    <w:rsid w:val="002D0DCC"/>
    <w:rsid w:val="002F135C"/>
    <w:rsid w:val="002F355B"/>
    <w:rsid w:val="00300B07"/>
    <w:rsid w:val="00366FD7"/>
    <w:rsid w:val="00370ED7"/>
    <w:rsid w:val="00391023"/>
    <w:rsid w:val="00395DBF"/>
    <w:rsid w:val="003B3C99"/>
    <w:rsid w:val="003F2EBC"/>
    <w:rsid w:val="00405FB3"/>
    <w:rsid w:val="00415028"/>
    <w:rsid w:val="004248BD"/>
    <w:rsid w:val="00450EEA"/>
    <w:rsid w:val="00463002"/>
    <w:rsid w:val="00472C3C"/>
    <w:rsid w:val="004B735F"/>
    <w:rsid w:val="004C175C"/>
    <w:rsid w:val="00500697"/>
    <w:rsid w:val="00504B99"/>
    <w:rsid w:val="0052000B"/>
    <w:rsid w:val="0052029E"/>
    <w:rsid w:val="005242C9"/>
    <w:rsid w:val="0053139F"/>
    <w:rsid w:val="00535EA3"/>
    <w:rsid w:val="00552C1A"/>
    <w:rsid w:val="0058026D"/>
    <w:rsid w:val="005A256D"/>
    <w:rsid w:val="005B1074"/>
    <w:rsid w:val="005F2728"/>
    <w:rsid w:val="00614A44"/>
    <w:rsid w:val="00644DEF"/>
    <w:rsid w:val="00685D34"/>
    <w:rsid w:val="006B7520"/>
    <w:rsid w:val="006D0849"/>
    <w:rsid w:val="006D602C"/>
    <w:rsid w:val="006E2A1B"/>
    <w:rsid w:val="006F196D"/>
    <w:rsid w:val="006F32C1"/>
    <w:rsid w:val="00706D74"/>
    <w:rsid w:val="00731BBE"/>
    <w:rsid w:val="0076057B"/>
    <w:rsid w:val="00777AC5"/>
    <w:rsid w:val="00792BB1"/>
    <w:rsid w:val="007C4724"/>
    <w:rsid w:val="007D6248"/>
    <w:rsid w:val="00800025"/>
    <w:rsid w:val="0082148C"/>
    <w:rsid w:val="00831F43"/>
    <w:rsid w:val="00841D26"/>
    <w:rsid w:val="00857AC8"/>
    <w:rsid w:val="00863150"/>
    <w:rsid w:val="00896D23"/>
    <w:rsid w:val="009177A1"/>
    <w:rsid w:val="00937AB0"/>
    <w:rsid w:val="00981D31"/>
    <w:rsid w:val="009A2BF5"/>
    <w:rsid w:val="009A4CB3"/>
    <w:rsid w:val="009B0DA4"/>
    <w:rsid w:val="009D0F11"/>
    <w:rsid w:val="009E2FBD"/>
    <w:rsid w:val="009F2D02"/>
    <w:rsid w:val="009F61CD"/>
    <w:rsid w:val="00A06204"/>
    <w:rsid w:val="00A123FB"/>
    <w:rsid w:val="00A13B92"/>
    <w:rsid w:val="00A21798"/>
    <w:rsid w:val="00A32D7F"/>
    <w:rsid w:val="00A432D6"/>
    <w:rsid w:val="00A43662"/>
    <w:rsid w:val="00A54D32"/>
    <w:rsid w:val="00A6149C"/>
    <w:rsid w:val="00B24862"/>
    <w:rsid w:val="00B3792D"/>
    <w:rsid w:val="00B86EA2"/>
    <w:rsid w:val="00B93E62"/>
    <w:rsid w:val="00B94B14"/>
    <w:rsid w:val="00BA2A3D"/>
    <w:rsid w:val="00BA56CD"/>
    <w:rsid w:val="00BE0F5B"/>
    <w:rsid w:val="00C33E85"/>
    <w:rsid w:val="00C408D1"/>
    <w:rsid w:val="00C505B8"/>
    <w:rsid w:val="00C630BD"/>
    <w:rsid w:val="00C65079"/>
    <w:rsid w:val="00C76273"/>
    <w:rsid w:val="00C8651E"/>
    <w:rsid w:val="00CC0EB7"/>
    <w:rsid w:val="00D004B4"/>
    <w:rsid w:val="00D131BD"/>
    <w:rsid w:val="00D237BE"/>
    <w:rsid w:val="00D36C4F"/>
    <w:rsid w:val="00D56121"/>
    <w:rsid w:val="00D6268F"/>
    <w:rsid w:val="00DD5730"/>
    <w:rsid w:val="00DF4E03"/>
    <w:rsid w:val="00DF4F6B"/>
    <w:rsid w:val="00E60C4A"/>
    <w:rsid w:val="00E73DED"/>
    <w:rsid w:val="00E97E4E"/>
    <w:rsid w:val="00EA1D9F"/>
    <w:rsid w:val="00EA77D1"/>
    <w:rsid w:val="00EE5FD1"/>
    <w:rsid w:val="00F000CF"/>
    <w:rsid w:val="00F20D4A"/>
    <w:rsid w:val="00F2304D"/>
    <w:rsid w:val="00F26859"/>
    <w:rsid w:val="00F27817"/>
    <w:rsid w:val="00F37030"/>
    <w:rsid w:val="00F65050"/>
    <w:rsid w:val="00F95985"/>
    <w:rsid w:val="00FB0B59"/>
    <w:rsid w:val="00FB4807"/>
    <w:rsid w:val="00FB54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Hyperlink">
    <w:name w:val="Hyperlink"/>
    <w:basedOn w:val="DefaultParagraphFont"/>
    <w:uiPriority w:val="99"/>
    <w:unhideWhenUsed/>
    <w:rsid w:val="00370ED7"/>
    <w:rPr>
      <w:color w:val="0563C1" w:themeColor="hyperlink"/>
      <w:u w:val="single"/>
    </w:rPr>
  </w:style>
  <w:style w:type="character" w:styleId="FollowedHyperlink">
    <w:name w:val="FollowedHyperlink"/>
    <w:basedOn w:val="DefaultParagraphFont"/>
    <w:rsid w:val="00E97E4E"/>
    <w:rPr>
      <w:color w:val="954F72" w:themeColor="followedHyperlink"/>
      <w:u w:val="single"/>
    </w:rPr>
  </w:style>
  <w:style w:type="character" w:styleId="CommentReference">
    <w:name w:val="annotation reference"/>
    <w:basedOn w:val="DefaultParagraphFont"/>
    <w:rsid w:val="00F000CF"/>
    <w:rPr>
      <w:sz w:val="16"/>
      <w:szCs w:val="16"/>
    </w:rPr>
  </w:style>
  <w:style w:type="paragraph" w:styleId="CommentText">
    <w:name w:val="annotation text"/>
    <w:basedOn w:val="Normal"/>
    <w:link w:val="CommentTextChar"/>
    <w:rsid w:val="00F000CF"/>
    <w:rPr>
      <w:sz w:val="20"/>
      <w:szCs w:val="20"/>
    </w:rPr>
  </w:style>
  <w:style w:type="character" w:customStyle="1" w:styleId="CommentTextChar">
    <w:name w:val="Comment Text Char"/>
    <w:basedOn w:val="DefaultParagraphFont"/>
    <w:link w:val="CommentText"/>
    <w:rsid w:val="00F000CF"/>
    <w:rPr>
      <w:rFonts w:ascii="Arial" w:hAnsi="Arial" w:cs="Arial"/>
      <w:lang w:val="en-GB" w:eastAsia="en-US"/>
    </w:rPr>
  </w:style>
  <w:style w:type="paragraph" w:styleId="CommentSubject">
    <w:name w:val="annotation subject"/>
    <w:basedOn w:val="CommentText"/>
    <w:next w:val="CommentText"/>
    <w:link w:val="CommentSubjectChar"/>
    <w:rsid w:val="00F000CF"/>
    <w:rPr>
      <w:b/>
      <w:bCs/>
    </w:rPr>
  </w:style>
  <w:style w:type="character" w:customStyle="1" w:styleId="CommentSubjectChar">
    <w:name w:val="Comment Subject Char"/>
    <w:basedOn w:val="CommentTextChar"/>
    <w:link w:val="CommentSubject"/>
    <w:rsid w:val="00F000CF"/>
    <w:rPr>
      <w:rFonts w:ascii="Arial" w:hAnsi="Arial" w:cs="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imate.esa.int/en/projects/biomass/da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edi.umd.edu/data/produ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FCCC Word Document" ma:contentTypeID="0x010100AC1080CB3F0A334A8C0952354BCA8564007BC3E68EB416CC4AAA2F6028BACC239E" ma:contentTypeVersion="1" ma:contentTypeDescription="Creates a new UNFCCC Document" ma:contentTypeScope="" ma:versionID="7f3a503a110ea00c97dd81f74b72a3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1D436A-653D-41CD-8080-BB936120E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Depenthal,Johanna A</cp:lastModifiedBy>
  <cp:revision>106</cp:revision>
  <cp:lastPrinted>2001-10-25T12:04:00Z</cp:lastPrinted>
  <dcterms:created xsi:type="dcterms:W3CDTF">2023-11-07T01:23:00Z</dcterms:created>
  <dcterms:modified xsi:type="dcterms:W3CDTF">2023-11-09T17:15:00Z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ies>
</file>