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74" w:rsidRDefault="00777AC5" w:rsidP="005B1074">
      <w:pPr>
        <w:pStyle w:val="StyleRegHead111pt"/>
        <w:numPr>
          <w:ilvl w:val="0"/>
          <w:numId w:val="0"/>
        </w:numPr>
      </w:pPr>
      <w:r>
        <w:t>TABLE</w:t>
      </w:r>
      <w:r w:rsidR="005B1074">
        <w:t xml:space="preserve"> FOR COMMENTS</w:t>
      </w:r>
    </w:p>
    <w:p w:rsidR="00E60C4A" w:rsidRDefault="00E60C4A" w:rsidP="00E60C4A">
      <w:pPr>
        <w:pStyle w:val="StyleRegHead111pt"/>
        <w:numPr>
          <w:ilvl w:val="0"/>
          <w:numId w:val="0"/>
        </w:numPr>
        <w:jc w:val="left"/>
      </w:pPr>
      <w:r>
        <w:t>Name of submitter: __________</w:t>
      </w:r>
      <w:r w:rsidR="00CB3512">
        <w:t>Johny Drep</w:t>
      </w:r>
      <w:r>
        <w:t>____________________</w:t>
      </w:r>
      <w:r w:rsidR="006D0849">
        <w:t>______</w:t>
      </w:r>
      <w:r w:rsidR="00044598">
        <w:t>_____________</w:t>
      </w:r>
    </w:p>
    <w:p w:rsidR="00E60C4A" w:rsidRDefault="00E60C4A" w:rsidP="00E60C4A">
      <w:pPr>
        <w:pStyle w:val="StyleRegHead111pt"/>
        <w:numPr>
          <w:ilvl w:val="0"/>
          <w:numId w:val="0"/>
        </w:numPr>
        <w:jc w:val="left"/>
      </w:pPr>
      <w:r>
        <w:t>Affiliated organization of the submitter</w:t>
      </w:r>
      <w:r w:rsidR="006D0849">
        <w:t xml:space="preserve"> (if any)</w:t>
      </w:r>
      <w:r>
        <w:t>: ____</w:t>
      </w:r>
      <w:r w:rsidR="00E55420">
        <w:t>SADF</w:t>
      </w:r>
      <w:r>
        <w:t>_____________________</w:t>
      </w:r>
    </w:p>
    <w:p w:rsidR="00E60C4A" w:rsidRPr="007F243D" w:rsidRDefault="00E60C4A" w:rsidP="00E60C4A">
      <w:pPr>
        <w:pStyle w:val="StyleRegHead111pt"/>
        <w:numPr>
          <w:ilvl w:val="0"/>
          <w:numId w:val="0"/>
        </w:numPr>
        <w:jc w:val="left"/>
      </w:pPr>
      <w:r>
        <w:t>Contact email of submitter: _________</w:t>
      </w:r>
      <w:r w:rsidR="0073186D">
        <w:t>johnydrepg@gmail.com</w:t>
      </w:r>
      <w:r>
        <w:t>________________</w:t>
      </w:r>
      <w:r w:rsidR="00044598">
        <w:t>____</w:t>
      </w:r>
      <w:r w:rsidR="006D0849">
        <w:t>______</w:t>
      </w:r>
      <w:r w:rsidR="00044598">
        <w:t>_______</w:t>
      </w:r>
    </w:p>
    <w:p w:rsidR="005B1074" w:rsidRPr="00035035" w:rsidRDefault="005B1074" w:rsidP="005B1074"/>
    <w:p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360"/>
        <w:gridCol w:w="1388"/>
        <w:gridCol w:w="1022"/>
        <w:gridCol w:w="992"/>
        <w:gridCol w:w="4762"/>
        <w:gridCol w:w="4253"/>
        <w:gridCol w:w="2552"/>
      </w:tblGrid>
      <w:tr w:rsidR="00863150"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80" w:lineRule="exact"/>
              <w:jc w:val="center"/>
              <w:rPr>
                <w:b/>
                <w:bCs/>
                <w:sz w:val="16"/>
                <w:szCs w:val="16"/>
              </w:rPr>
            </w:pPr>
            <w:r>
              <w:rPr>
                <w:b/>
                <w:bCs/>
                <w:sz w:val="16"/>
                <w:szCs w:val="16"/>
              </w:rPr>
              <w:t>6</w:t>
            </w:r>
          </w:p>
        </w:tc>
      </w:tr>
      <w:tr w:rsidR="00863150"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r>
              <w:rPr>
                <w:b/>
                <w:bCs/>
                <w:sz w:val="16"/>
                <w:szCs w:val="16"/>
              </w:rPr>
              <w:t>#</w:t>
            </w:r>
          </w:p>
          <w:p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r>
              <w:rPr>
                <w:b/>
                <w:bCs/>
                <w:sz w:val="16"/>
                <w:szCs w:val="16"/>
              </w:rPr>
              <w:t>Type of comment</w:t>
            </w:r>
          </w:p>
          <w:p w:rsidR="00863150" w:rsidRDefault="00863150">
            <w:pPr>
              <w:keepLines/>
              <w:spacing w:before="40" w:after="40" w:line="190" w:lineRule="exact"/>
              <w:jc w:val="center"/>
              <w:rPr>
                <w:rStyle w:val="PageNumber"/>
                <w:sz w:val="16"/>
                <w:szCs w:val="16"/>
              </w:rPr>
            </w:pPr>
            <w:r>
              <w:rPr>
                <w:rStyle w:val="PageNumber"/>
                <w:b/>
                <w:bCs/>
                <w:sz w:val="16"/>
                <w:szCs w:val="16"/>
              </w:rPr>
              <w:t>ge</w:t>
            </w:r>
            <w:r>
              <w:rPr>
                <w:rStyle w:val="PageNumber"/>
                <w:sz w:val="16"/>
                <w:szCs w:val="16"/>
              </w:rPr>
              <w:t xml:space="preserve"> = general</w:t>
            </w:r>
          </w:p>
          <w:p w:rsidR="00863150" w:rsidRDefault="00863150">
            <w:pPr>
              <w:keepLines/>
              <w:spacing w:before="40" w:after="40" w:line="190" w:lineRule="exact"/>
              <w:jc w:val="center"/>
              <w:rPr>
                <w:b/>
                <w:bCs/>
                <w:sz w:val="16"/>
                <w:szCs w:val="16"/>
              </w:rPr>
            </w:pPr>
            <w:r>
              <w:rPr>
                <w:rStyle w:val="PageNumber"/>
                <w:b/>
                <w:bCs/>
                <w:sz w:val="16"/>
                <w:szCs w:val="16"/>
              </w:rPr>
              <w:t>te</w:t>
            </w:r>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r>
              <w:rPr>
                <w:b/>
                <w:bCs/>
                <w:sz w:val="16"/>
                <w:szCs w:val="16"/>
              </w:rPr>
              <w:t xml:space="preserve">Comment </w:t>
            </w:r>
          </w:p>
          <w:p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r>
              <w:rPr>
                <w:b/>
                <w:bCs/>
                <w:sz w:val="16"/>
                <w:szCs w:val="16"/>
              </w:rPr>
              <w:t xml:space="preserve">Proposed change </w:t>
            </w:r>
          </w:p>
          <w:p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rsidP="005A256D">
            <w:pPr>
              <w:keepLines/>
              <w:spacing w:before="40" w:after="40" w:line="190" w:lineRule="exact"/>
              <w:jc w:val="center"/>
              <w:rPr>
                <w:b/>
                <w:bCs/>
                <w:sz w:val="16"/>
                <w:szCs w:val="16"/>
              </w:rPr>
            </w:pPr>
            <w:r>
              <w:rPr>
                <w:b/>
                <w:bCs/>
                <w:sz w:val="16"/>
                <w:szCs w:val="16"/>
              </w:rPr>
              <w:t>Assessment of comment</w:t>
            </w:r>
          </w:p>
          <w:p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9A3643">
            <w:pPr>
              <w:keepLines/>
              <w:spacing w:before="40" w:after="40" w:line="190" w:lineRule="exact"/>
              <w:jc w:val="center"/>
              <w:rPr>
                <w:b/>
                <w:bCs/>
                <w:sz w:val="16"/>
                <w:szCs w:val="16"/>
              </w:rPr>
            </w:pPr>
            <w:r>
              <w:rPr>
                <w:b/>
                <w:bCs/>
                <w:sz w:val="16"/>
                <w:szCs w:val="16"/>
              </w:rPr>
              <w:t>1</w:t>
            </w:r>
          </w:p>
        </w:tc>
        <w:tc>
          <w:tcPr>
            <w:tcW w:w="1388" w:type="dxa"/>
            <w:tcBorders>
              <w:top w:val="single" w:sz="6" w:space="0" w:color="auto"/>
              <w:left w:val="single" w:sz="6" w:space="0" w:color="auto"/>
              <w:bottom w:val="single" w:sz="6" w:space="0" w:color="auto"/>
              <w:right w:val="single" w:sz="6" w:space="0" w:color="auto"/>
            </w:tcBorders>
          </w:tcPr>
          <w:p w:rsidR="00863150" w:rsidRDefault="009A3643">
            <w:pPr>
              <w:keepLines/>
              <w:spacing w:before="40" w:after="40" w:line="190" w:lineRule="exact"/>
              <w:jc w:val="center"/>
              <w:rPr>
                <w:b/>
                <w:bCs/>
                <w:sz w:val="16"/>
                <w:szCs w:val="16"/>
              </w:rPr>
            </w:pPr>
            <w:r>
              <w:rPr>
                <w:b/>
                <w:bCs/>
                <w:sz w:val="16"/>
                <w:szCs w:val="16"/>
              </w:rPr>
              <w:t>Para 1</w:t>
            </w:r>
          </w:p>
        </w:tc>
        <w:tc>
          <w:tcPr>
            <w:tcW w:w="1022" w:type="dxa"/>
            <w:tcBorders>
              <w:top w:val="single" w:sz="6" w:space="0" w:color="auto"/>
              <w:left w:val="single" w:sz="6" w:space="0" w:color="auto"/>
              <w:bottom w:val="single" w:sz="6" w:space="0" w:color="auto"/>
              <w:right w:val="single" w:sz="6" w:space="0" w:color="auto"/>
            </w:tcBorders>
          </w:tcPr>
          <w:p w:rsidR="00863150" w:rsidRDefault="009A3643">
            <w:pPr>
              <w:keepLines/>
              <w:spacing w:before="40" w:after="40" w:line="190" w:lineRule="exact"/>
              <w:jc w:val="center"/>
              <w:rPr>
                <w:b/>
                <w:bCs/>
                <w:sz w:val="16"/>
                <w:szCs w:val="16"/>
              </w:rPr>
            </w:pPr>
            <w:r>
              <w:rPr>
                <w:b/>
                <w:bCs/>
                <w:sz w:val="16"/>
                <w:szCs w:val="16"/>
              </w:rPr>
              <w:t>1</w:t>
            </w:r>
          </w:p>
        </w:tc>
        <w:tc>
          <w:tcPr>
            <w:tcW w:w="992" w:type="dxa"/>
            <w:tcBorders>
              <w:top w:val="single" w:sz="6" w:space="0" w:color="auto"/>
              <w:left w:val="single" w:sz="6" w:space="0" w:color="auto"/>
              <w:bottom w:val="single" w:sz="6" w:space="0" w:color="auto"/>
              <w:right w:val="single" w:sz="6" w:space="0" w:color="auto"/>
            </w:tcBorders>
          </w:tcPr>
          <w:p w:rsidR="00863150" w:rsidRDefault="009A3643">
            <w:pPr>
              <w:keepLines/>
              <w:spacing w:before="40" w:after="40" w:line="190" w:lineRule="exact"/>
              <w:jc w:val="center"/>
              <w:rPr>
                <w:b/>
                <w:bCs/>
                <w:sz w:val="16"/>
                <w:szCs w:val="16"/>
              </w:rPr>
            </w:pPr>
            <w:r>
              <w:rPr>
                <w:b/>
                <w:bCs/>
                <w:sz w:val="16"/>
                <w:szCs w:val="16"/>
              </w:rPr>
              <w:t>Mandate</w:t>
            </w:r>
          </w:p>
        </w:tc>
        <w:tc>
          <w:tcPr>
            <w:tcW w:w="4762" w:type="dxa"/>
            <w:tcBorders>
              <w:top w:val="single" w:sz="6" w:space="0" w:color="auto"/>
              <w:left w:val="single" w:sz="6" w:space="0" w:color="auto"/>
              <w:bottom w:val="single" w:sz="6" w:space="0" w:color="auto"/>
              <w:right w:val="single" w:sz="6" w:space="0" w:color="auto"/>
            </w:tcBorders>
          </w:tcPr>
          <w:p w:rsidR="00863150" w:rsidRDefault="009A3643">
            <w:pPr>
              <w:keepLines/>
              <w:spacing w:before="40" w:after="40" w:line="190" w:lineRule="exact"/>
              <w:jc w:val="center"/>
              <w:rPr>
                <w:b/>
                <w:bCs/>
                <w:sz w:val="16"/>
                <w:szCs w:val="16"/>
              </w:rPr>
            </w:pPr>
            <w:r>
              <w:rPr>
                <w:b/>
                <w:bCs/>
                <w:sz w:val="16"/>
                <w:szCs w:val="16"/>
              </w:rPr>
              <w:t>Is the mandate to replace the whole of Para 11? The whole of Para 11 (C)? Or is it to address the specific question of</w:t>
            </w:r>
            <w:r w:rsidR="001F6418">
              <w:rPr>
                <w:b/>
                <w:bCs/>
                <w:sz w:val="16"/>
                <w:szCs w:val="16"/>
              </w:rPr>
              <w:t xml:space="preserve"> removing </w:t>
            </w:r>
            <w:r>
              <w:rPr>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rsidR="001F6418" w:rsidRDefault="001F6418" w:rsidP="001F6418">
            <w:pPr>
              <w:pStyle w:val="Default"/>
              <w:jc w:val="both"/>
              <w:rPr>
                <w:sz w:val="22"/>
                <w:szCs w:val="22"/>
              </w:rPr>
            </w:pPr>
            <w:r>
              <w:rPr>
                <w:sz w:val="22"/>
                <w:szCs w:val="22"/>
              </w:rPr>
              <w:t>The work should stick to the mandate to “explore options for replacing the unit size criterion in the positive list (i.e. provision in paragraph 11 (c) of Tool21) with an expanded positive list of technologies in the Tool21 that includes specific distributed unit technologies that would provide services to households/communities/small- and medium sized enterprises (SMEs) “</w:t>
            </w:r>
          </w:p>
          <w:p w:rsidR="001F6418" w:rsidRDefault="001F6418" w:rsidP="001F6418">
            <w:pPr>
              <w:pStyle w:val="Default"/>
              <w:rPr>
                <w:sz w:val="22"/>
                <w:szCs w:val="22"/>
              </w:rPr>
            </w:pPr>
          </w:p>
          <w:p w:rsidR="00863150" w:rsidRDefault="00F819A3" w:rsidP="00F819A3">
            <w:pPr>
              <w:keepLines/>
              <w:spacing w:before="40" w:after="40" w:line="190" w:lineRule="exact"/>
              <w:jc w:val="center"/>
              <w:rPr>
                <w:b/>
                <w:bCs/>
                <w:sz w:val="16"/>
                <w:szCs w:val="16"/>
              </w:rPr>
            </w:pPr>
            <w:r>
              <w:rPr>
                <w:b/>
                <w:bCs/>
                <w:sz w:val="16"/>
                <w:szCs w:val="16"/>
              </w:rPr>
              <w:t>NB: recommendation to remove the whole of Para 11 is not mandated.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F819A3">
            <w:pPr>
              <w:keepLines/>
              <w:spacing w:before="40" w:after="40" w:line="190" w:lineRule="exact"/>
              <w:jc w:val="center"/>
              <w:rPr>
                <w:b/>
                <w:bCs/>
                <w:sz w:val="16"/>
                <w:szCs w:val="16"/>
              </w:rPr>
            </w:pPr>
            <w:r>
              <w:rPr>
                <w:b/>
                <w:bCs/>
                <w:sz w:val="16"/>
                <w:szCs w:val="16"/>
              </w:rPr>
              <w:lastRenderedPageBreak/>
              <w:t>2</w:t>
            </w:r>
          </w:p>
        </w:tc>
        <w:tc>
          <w:tcPr>
            <w:tcW w:w="1388" w:type="dxa"/>
            <w:tcBorders>
              <w:top w:val="single" w:sz="6" w:space="0" w:color="auto"/>
              <w:left w:val="single" w:sz="6" w:space="0" w:color="auto"/>
              <w:bottom w:val="single" w:sz="6" w:space="0" w:color="auto"/>
              <w:right w:val="single" w:sz="6" w:space="0" w:color="auto"/>
            </w:tcBorders>
          </w:tcPr>
          <w:p w:rsidR="00863150" w:rsidRDefault="00445F72">
            <w:pPr>
              <w:keepLines/>
              <w:spacing w:before="40" w:after="40" w:line="190" w:lineRule="exact"/>
              <w:jc w:val="center"/>
              <w:rPr>
                <w:b/>
                <w:bCs/>
                <w:sz w:val="16"/>
                <w:szCs w:val="16"/>
              </w:rPr>
            </w:pPr>
            <w:r>
              <w:rPr>
                <w:b/>
                <w:bCs/>
                <w:sz w:val="16"/>
                <w:szCs w:val="16"/>
              </w:rPr>
              <w:t>2</w:t>
            </w:r>
          </w:p>
        </w:tc>
        <w:tc>
          <w:tcPr>
            <w:tcW w:w="1022" w:type="dxa"/>
            <w:tcBorders>
              <w:top w:val="single" w:sz="6" w:space="0" w:color="auto"/>
              <w:left w:val="single" w:sz="6" w:space="0" w:color="auto"/>
              <w:bottom w:val="single" w:sz="6" w:space="0" w:color="auto"/>
              <w:right w:val="single" w:sz="6" w:space="0" w:color="auto"/>
            </w:tcBorders>
          </w:tcPr>
          <w:p w:rsidR="00863150" w:rsidRDefault="00445F72">
            <w:pPr>
              <w:keepLines/>
              <w:spacing w:before="40" w:after="40" w:line="190" w:lineRule="exact"/>
              <w:jc w:val="center"/>
              <w:rPr>
                <w:b/>
                <w:bCs/>
                <w:sz w:val="16"/>
                <w:szCs w:val="16"/>
              </w:rPr>
            </w:pPr>
            <w:r>
              <w:rPr>
                <w:b/>
                <w:bCs/>
                <w:sz w:val="16"/>
                <w:szCs w:val="16"/>
              </w:rPr>
              <w:t>2.4b</w:t>
            </w:r>
          </w:p>
        </w:tc>
        <w:tc>
          <w:tcPr>
            <w:tcW w:w="992" w:type="dxa"/>
            <w:tcBorders>
              <w:top w:val="single" w:sz="6" w:space="0" w:color="auto"/>
              <w:left w:val="single" w:sz="6" w:space="0" w:color="auto"/>
              <w:bottom w:val="single" w:sz="6" w:space="0" w:color="auto"/>
              <w:right w:val="single" w:sz="6" w:space="0" w:color="auto"/>
            </w:tcBorders>
          </w:tcPr>
          <w:p w:rsidR="00863150" w:rsidRDefault="00F819A3">
            <w:pPr>
              <w:keepLines/>
              <w:spacing w:before="40" w:after="40" w:line="190" w:lineRule="exact"/>
              <w:jc w:val="center"/>
              <w:rPr>
                <w:b/>
                <w:bCs/>
                <w:sz w:val="16"/>
                <w:szCs w:val="16"/>
              </w:rPr>
            </w:pPr>
            <w:r>
              <w:rPr>
                <w:b/>
                <w:bCs/>
                <w:sz w:val="16"/>
                <w:szCs w:val="16"/>
              </w:rPr>
              <w:t>Coverage of mandate</w:t>
            </w:r>
          </w:p>
        </w:tc>
        <w:tc>
          <w:tcPr>
            <w:tcW w:w="4762" w:type="dxa"/>
            <w:tcBorders>
              <w:top w:val="single" w:sz="6" w:space="0" w:color="auto"/>
              <w:left w:val="single" w:sz="6" w:space="0" w:color="auto"/>
              <w:bottom w:val="single" w:sz="6" w:space="0" w:color="auto"/>
              <w:right w:val="single" w:sz="6" w:space="0" w:color="auto"/>
            </w:tcBorders>
          </w:tcPr>
          <w:p w:rsidR="00F819A3" w:rsidRDefault="00F819A3" w:rsidP="00445F72">
            <w:pPr>
              <w:pStyle w:val="Default"/>
              <w:jc w:val="both"/>
              <w:rPr>
                <w:sz w:val="22"/>
                <w:szCs w:val="22"/>
              </w:rPr>
            </w:pPr>
            <w:r>
              <w:rPr>
                <w:sz w:val="22"/>
                <w:szCs w:val="22"/>
              </w:rPr>
              <w:t xml:space="preserve">The positive lists facilitate the development of CDM project activities and programme of activities particularly involving distributed energy technologies that would </w:t>
            </w:r>
            <w:r w:rsidRPr="00F819A3">
              <w:rPr>
                <w:sz w:val="22"/>
                <w:szCs w:val="22"/>
                <w:u w:val="single"/>
              </w:rPr>
              <w:t>provide services to households/communities/small- and medium sized enterprises.</w:t>
            </w:r>
            <w:r>
              <w:rPr>
                <w:sz w:val="22"/>
                <w:szCs w:val="22"/>
              </w:rPr>
              <w:t xml:space="preserve"> </w:t>
            </w:r>
          </w:p>
          <w:p w:rsidR="00F819A3" w:rsidRDefault="00F819A3" w:rsidP="00F819A3">
            <w:pPr>
              <w:pStyle w:val="Default"/>
              <w:rPr>
                <w:sz w:val="22"/>
                <w:szCs w:val="22"/>
              </w:rPr>
            </w:pPr>
          </w:p>
          <w:p w:rsidR="00F819A3" w:rsidRDefault="00F819A3" w:rsidP="00E53BDE">
            <w:pPr>
              <w:pStyle w:val="Default"/>
              <w:jc w:val="both"/>
              <w:rPr>
                <w:sz w:val="22"/>
                <w:szCs w:val="22"/>
              </w:rPr>
            </w:pPr>
            <w:r>
              <w:rPr>
                <w:sz w:val="22"/>
                <w:szCs w:val="22"/>
              </w:rPr>
              <w:t xml:space="preserve">The proposed approach </w:t>
            </w:r>
            <w:r w:rsidR="00E53BDE">
              <w:rPr>
                <w:sz w:val="22"/>
                <w:szCs w:val="22"/>
              </w:rPr>
              <w:t xml:space="preserve">selectively endorsed few technologies and </w:t>
            </w:r>
            <w:r>
              <w:rPr>
                <w:sz w:val="22"/>
                <w:szCs w:val="22"/>
              </w:rPr>
              <w:t xml:space="preserve">eliminates other technologies that provide </w:t>
            </w:r>
            <w:r w:rsidRPr="00F819A3">
              <w:rPr>
                <w:sz w:val="22"/>
                <w:szCs w:val="22"/>
              </w:rPr>
              <w:t>services to households/communities/smal</w:t>
            </w:r>
            <w:r>
              <w:rPr>
                <w:sz w:val="22"/>
                <w:szCs w:val="22"/>
              </w:rPr>
              <w:t>l- and medium sized enterprises citing  “The technologies whose Additionality is already addressed in specific methodologies were removed from the list”</w:t>
            </w:r>
          </w:p>
          <w:p w:rsidR="00E53BDE" w:rsidRDefault="00E53BDE" w:rsidP="00E53BDE">
            <w:pPr>
              <w:pStyle w:val="Default"/>
              <w:jc w:val="both"/>
              <w:rPr>
                <w:sz w:val="22"/>
                <w:szCs w:val="22"/>
              </w:rPr>
            </w:pPr>
          </w:p>
          <w:p w:rsidR="00E53BDE" w:rsidRDefault="00445F72" w:rsidP="00E53BDE">
            <w:pPr>
              <w:pStyle w:val="Default"/>
              <w:jc w:val="both"/>
              <w:rPr>
                <w:sz w:val="22"/>
                <w:szCs w:val="22"/>
              </w:rPr>
            </w:pPr>
            <w:r>
              <w:rPr>
                <w:sz w:val="22"/>
                <w:szCs w:val="22"/>
              </w:rPr>
              <w:t>On the contrary w</w:t>
            </w:r>
            <w:r w:rsidR="00E53BDE" w:rsidRPr="00E53BDE">
              <w:rPr>
                <w:sz w:val="22"/>
                <w:szCs w:val="22"/>
              </w:rPr>
              <w:t xml:space="preserve">e can imagine </w:t>
            </w:r>
            <w:r w:rsidR="003709C2">
              <w:rPr>
                <w:sz w:val="22"/>
                <w:szCs w:val="22"/>
              </w:rPr>
              <w:t>i</w:t>
            </w:r>
            <w:r w:rsidR="00E53BDE" w:rsidRPr="00E53BDE">
              <w:rPr>
                <w:sz w:val="22"/>
                <w:szCs w:val="22"/>
              </w:rPr>
              <w:t>t is contradicting to suggest for the eliminated technologies to use</w:t>
            </w:r>
            <w:r w:rsidR="00A7186D">
              <w:rPr>
                <w:sz w:val="22"/>
                <w:szCs w:val="22"/>
              </w:rPr>
              <w:t xml:space="preserve"> provisions in</w:t>
            </w:r>
            <w:r w:rsidR="00E53BDE" w:rsidRPr="00E53BDE">
              <w:rPr>
                <w:sz w:val="22"/>
                <w:szCs w:val="22"/>
              </w:rPr>
              <w:t xml:space="preserve"> the SSC methodology </w:t>
            </w:r>
            <w:r w:rsidR="00E53BDE" w:rsidRPr="00B50799">
              <w:rPr>
                <w:sz w:val="22"/>
                <w:szCs w:val="22"/>
                <w:u w:val="single"/>
              </w:rPr>
              <w:t>while eliminating the very basis of 1% provision</w:t>
            </w:r>
            <w:r w:rsidR="00E53BDE" w:rsidRPr="00E53BDE">
              <w:rPr>
                <w:sz w:val="22"/>
                <w:szCs w:val="22"/>
              </w:rPr>
              <w:t xml:space="preserve"> from the methodology itself</w:t>
            </w:r>
            <w:r w:rsidR="00E53BDE">
              <w:rPr>
                <w:sz w:val="22"/>
                <w:szCs w:val="22"/>
              </w:rPr>
              <w:t xml:space="preserve"> by restricting </w:t>
            </w:r>
            <w:r w:rsidR="003709C2">
              <w:rPr>
                <w:sz w:val="22"/>
                <w:szCs w:val="22"/>
              </w:rPr>
              <w:t xml:space="preserve">it </w:t>
            </w:r>
            <w:r w:rsidR="00E53BDE">
              <w:rPr>
                <w:sz w:val="22"/>
                <w:szCs w:val="22"/>
              </w:rPr>
              <w:t xml:space="preserve">to selected few </w:t>
            </w:r>
            <w:r w:rsidR="00B50799">
              <w:rPr>
                <w:sz w:val="22"/>
                <w:szCs w:val="22"/>
              </w:rPr>
              <w:t xml:space="preserve">other </w:t>
            </w:r>
            <w:r w:rsidR="00E53BDE">
              <w:rPr>
                <w:sz w:val="22"/>
                <w:szCs w:val="22"/>
              </w:rPr>
              <w:t>technologies.</w:t>
            </w:r>
            <w:r w:rsidR="00A7186D">
              <w:rPr>
                <w:sz w:val="22"/>
                <w:szCs w:val="22"/>
              </w:rPr>
              <w:t xml:space="preserve"> For example efficient vehicles cannot have a simplified provision </w:t>
            </w:r>
            <w:r w:rsidR="00B50799">
              <w:rPr>
                <w:sz w:val="22"/>
                <w:szCs w:val="22"/>
              </w:rPr>
              <w:t xml:space="preserve">in the SSC tool </w:t>
            </w:r>
            <w:r w:rsidR="00A7186D">
              <w:rPr>
                <w:sz w:val="22"/>
                <w:szCs w:val="22"/>
              </w:rPr>
              <w:t xml:space="preserve">once 11C is removed, since all other </w:t>
            </w:r>
            <w:r w:rsidR="00B50799">
              <w:rPr>
                <w:sz w:val="22"/>
                <w:szCs w:val="22"/>
              </w:rPr>
              <w:t>sub elements</w:t>
            </w:r>
            <w:r w:rsidR="00A7186D">
              <w:rPr>
                <w:sz w:val="22"/>
                <w:szCs w:val="22"/>
              </w:rPr>
              <w:t xml:space="preserve"> of Para 11 </w:t>
            </w:r>
            <w:r w:rsidR="00B50799">
              <w:rPr>
                <w:sz w:val="22"/>
                <w:szCs w:val="22"/>
              </w:rPr>
              <w:t>talk about</w:t>
            </w:r>
            <w:r w:rsidR="00A7186D">
              <w:rPr>
                <w:sz w:val="22"/>
                <w:szCs w:val="22"/>
              </w:rPr>
              <w:t xml:space="preserve"> </w:t>
            </w:r>
            <w:r w:rsidR="00B50799">
              <w:rPr>
                <w:sz w:val="22"/>
                <w:szCs w:val="22"/>
              </w:rPr>
              <w:t>electricity/</w:t>
            </w:r>
            <w:r w:rsidR="00A7186D">
              <w:rPr>
                <w:sz w:val="22"/>
                <w:szCs w:val="22"/>
              </w:rPr>
              <w:t xml:space="preserve">energy provision only. </w:t>
            </w:r>
            <w:r w:rsidR="00E53BDE">
              <w:rPr>
                <w:sz w:val="22"/>
                <w:szCs w:val="22"/>
              </w:rPr>
              <w:t xml:space="preserve"> </w:t>
            </w:r>
          </w:p>
          <w:p w:rsidR="00F819A3" w:rsidRDefault="00F819A3" w:rsidP="00F819A3">
            <w:pPr>
              <w:pStyle w:val="Default"/>
              <w:rPr>
                <w:sz w:val="22"/>
                <w:szCs w:val="22"/>
              </w:rPr>
            </w:pPr>
          </w:p>
          <w:p w:rsidR="00F819A3" w:rsidRDefault="00F819A3" w:rsidP="00F819A3">
            <w:pPr>
              <w:pStyle w:val="Default"/>
              <w:rPr>
                <w:sz w:val="22"/>
                <w:szCs w:val="22"/>
              </w:rPr>
            </w:pPr>
          </w:p>
          <w:p w:rsidR="00F819A3" w:rsidRDefault="00F819A3" w:rsidP="00F819A3">
            <w:pPr>
              <w:pStyle w:val="Default"/>
              <w:rPr>
                <w:sz w:val="22"/>
                <w:szCs w:val="22"/>
              </w:rPr>
            </w:pPr>
          </w:p>
          <w:p w:rsidR="00F819A3" w:rsidRDefault="00F819A3" w:rsidP="00F819A3">
            <w:pPr>
              <w:pStyle w:val="Default"/>
              <w:rPr>
                <w:sz w:val="22"/>
                <w:szCs w:val="22"/>
              </w:rPr>
            </w:pPr>
          </w:p>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Pr="003709C2" w:rsidRDefault="00445F72">
            <w:pPr>
              <w:keepLines/>
              <w:spacing w:before="40" w:after="40" w:line="190" w:lineRule="exact"/>
              <w:jc w:val="center"/>
              <w:rPr>
                <w:color w:val="000000"/>
                <w:lang w:val="en-US"/>
              </w:rPr>
            </w:pPr>
            <w:r w:rsidRPr="003709C2">
              <w:rPr>
                <w:color w:val="000000"/>
                <w:lang w:val="en-US"/>
              </w:rPr>
              <w:t>There are two options to address this</w:t>
            </w:r>
          </w:p>
          <w:p w:rsidR="00445F72" w:rsidRDefault="00445F72">
            <w:pPr>
              <w:keepLines/>
              <w:spacing w:before="40" w:after="40" w:line="190" w:lineRule="exact"/>
              <w:jc w:val="center"/>
              <w:rPr>
                <w:b/>
                <w:bCs/>
                <w:sz w:val="16"/>
                <w:szCs w:val="16"/>
              </w:rPr>
            </w:pPr>
          </w:p>
          <w:p w:rsidR="00445F72" w:rsidRPr="00445F72" w:rsidRDefault="00445F72" w:rsidP="00445F72">
            <w:pPr>
              <w:pStyle w:val="ListParagraph"/>
              <w:keepLines/>
              <w:tabs>
                <w:tab w:val="left" w:pos="1405"/>
              </w:tabs>
              <w:spacing w:before="40" w:after="40" w:line="190" w:lineRule="exact"/>
              <w:ind w:left="1080"/>
              <w:rPr>
                <w:b/>
                <w:bCs/>
                <w:sz w:val="16"/>
                <w:szCs w:val="16"/>
              </w:rPr>
            </w:pPr>
          </w:p>
          <w:p w:rsidR="00445F72" w:rsidRPr="003709C2" w:rsidRDefault="00445F72" w:rsidP="00445F72">
            <w:pPr>
              <w:pStyle w:val="ListParagraph"/>
              <w:keepLines/>
              <w:numPr>
                <w:ilvl w:val="0"/>
                <w:numId w:val="6"/>
              </w:numPr>
              <w:tabs>
                <w:tab w:val="left" w:pos="1405"/>
              </w:tabs>
              <w:spacing w:before="40" w:after="40" w:line="190" w:lineRule="exact"/>
              <w:rPr>
                <w:b/>
                <w:bCs/>
                <w:sz w:val="16"/>
                <w:szCs w:val="16"/>
              </w:rPr>
            </w:pPr>
            <w:r w:rsidRPr="00445F72">
              <w:rPr>
                <w:color w:val="000000"/>
                <w:lang w:val="en-US"/>
              </w:rPr>
              <w:t xml:space="preserve">State that all distributed technologies that provide services to households/communities/small- and medium sized enterprises in the </w:t>
            </w:r>
            <w:r w:rsidR="003709C2">
              <w:rPr>
                <w:color w:val="000000"/>
                <w:lang w:val="en-US"/>
              </w:rPr>
              <w:t xml:space="preserve">proposed </w:t>
            </w:r>
            <w:r w:rsidRPr="00445F72">
              <w:rPr>
                <w:color w:val="000000"/>
                <w:lang w:val="en-US"/>
              </w:rPr>
              <w:t>positive list</w:t>
            </w:r>
            <w:r>
              <w:rPr>
                <w:color w:val="000000"/>
                <w:lang w:val="en-US"/>
              </w:rPr>
              <w:t xml:space="preserve"> </w:t>
            </w:r>
            <w:r w:rsidR="003709C2">
              <w:rPr>
                <w:color w:val="000000"/>
                <w:lang w:val="en-US"/>
              </w:rPr>
              <w:t xml:space="preserve">under 11c </w:t>
            </w:r>
            <w:r w:rsidR="003709C2" w:rsidRPr="003709C2">
              <w:rPr>
                <w:b/>
                <w:color w:val="000000"/>
                <w:lang w:val="en-US"/>
              </w:rPr>
              <w:t xml:space="preserve"> </w:t>
            </w:r>
            <w:r w:rsidRPr="003709C2">
              <w:rPr>
                <w:b/>
                <w:color w:val="000000"/>
                <w:lang w:val="en-US"/>
              </w:rPr>
              <w:t>or</w:t>
            </w:r>
          </w:p>
          <w:p w:rsidR="003709C2" w:rsidRPr="00445F72" w:rsidRDefault="003709C2" w:rsidP="003709C2">
            <w:pPr>
              <w:pStyle w:val="ListParagraph"/>
              <w:keepLines/>
              <w:tabs>
                <w:tab w:val="left" w:pos="1405"/>
              </w:tabs>
              <w:spacing w:before="40" w:after="40" w:line="190" w:lineRule="exact"/>
              <w:ind w:left="1080"/>
              <w:rPr>
                <w:b/>
                <w:bCs/>
                <w:sz w:val="16"/>
                <w:szCs w:val="16"/>
              </w:rPr>
            </w:pPr>
          </w:p>
          <w:p w:rsidR="00445F72" w:rsidRPr="00445F72" w:rsidRDefault="00445F72" w:rsidP="00445F72">
            <w:pPr>
              <w:pStyle w:val="ListParagraph"/>
              <w:keepLines/>
              <w:numPr>
                <w:ilvl w:val="0"/>
                <w:numId w:val="6"/>
              </w:numPr>
              <w:tabs>
                <w:tab w:val="left" w:pos="1405"/>
              </w:tabs>
              <w:spacing w:before="40" w:after="40" w:line="190" w:lineRule="exact"/>
              <w:rPr>
                <w:b/>
                <w:bCs/>
                <w:sz w:val="16"/>
                <w:szCs w:val="16"/>
              </w:rPr>
            </w:pPr>
            <w:r>
              <w:rPr>
                <w:color w:val="000000"/>
                <w:lang w:val="en-US"/>
              </w:rPr>
              <w:t>Maintain the provision in the methodology as it is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A7186D">
            <w:pPr>
              <w:keepLines/>
              <w:spacing w:before="40" w:after="40" w:line="190" w:lineRule="exact"/>
              <w:jc w:val="center"/>
              <w:rPr>
                <w:b/>
                <w:bCs/>
                <w:sz w:val="16"/>
                <w:szCs w:val="16"/>
              </w:rPr>
            </w:pPr>
            <w:r>
              <w:rPr>
                <w:b/>
                <w:bCs/>
                <w:sz w:val="16"/>
                <w:szCs w:val="16"/>
              </w:rPr>
              <w:lastRenderedPageBreak/>
              <w:t>3</w:t>
            </w:r>
          </w:p>
        </w:tc>
        <w:tc>
          <w:tcPr>
            <w:tcW w:w="1388" w:type="dxa"/>
            <w:tcBorders>
              <w:top w:val="single" w:sz="6" w:space="0" w:color="auto"/>
              <w:left w:val="single" w:sz="6" w:space="0" w:color="auto"/>
              <w:bottom w:val="single" w:sz="6" w:space="0" w:color="auto"/>
              <w:right w:val="single" w:sz="6" w:space="0" w:color="auto"/>
            </w:tcBorders>
          </w:tcPr>
          <w:p w:rsidR="00863150" w:rsidRDefault="00B50799">
            <w:pPr>
              <w:keepLines/>
              <w:spacing w:before="40" w:after="40" w:line="190" w:lineRule="exact"/>
              <w:jc w:val="center"/>
              <w:rPr>
                <w:b/>
                <w:bCs/>
                <w:sz w:val="16"/>
                <w:szCs w:val="16"/>
              </w:rPr>
            </w:pPr>
            <w:r>
              <w:rPr>
                <w:b/>
                <w:bCs/>
                <w:sz w:val="16"/>
                <w:szCs w:val="16"/>
              </w:rPr>
              <w:t>Para 10</w:t>
            </w: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B50799">
            <w:pPr>
              <w:keepLines/>
              <w:spacing w:before="40" w:after="40" w:line="190" w:lineRule="exact"/>
              <w:jc w:val="center"/>
              <w:rPr>
                <w:b/>
                <w:bCs/>
                <w:sz w:val="16"/>
                <w:szCs w:val="16"/>
              </w:rPr>
            </w:pPr>
            <w:r>
              <w:rPr>
                <w:b/>
                <w:bCs/>
                <w:sz w:val="16"/>
                <w:szCs w:val="16"/>
              </w:rPr>
              <w:t>correction</w:t>
            </w:r>
          </w:p>
        </w:tc>
        <w:tc>
          <w:tcPr>
            <w:tcW w:w="4762" w:type="dxa"/>
            <w:tcBorders>
              <w:top w:val="single" w:sz="6" w:space="0" w:color="auto"/>
              <w:left w:val="single" w:sz="6" w:space="0" w:color="auto"/>
              <w:bottom w:val="single" w:sz="6" w:space="0" w:color="auto"/>
              <w:right w:val="single" w:sz="6" w:space="0" w:color="auto"/>
            </w:tcBorders>
          </w:tcPr>
          <w:p w:rsidR="00B50799" w:rsidRDefault="00B50799" w:rsidP="00B50799">
            <w:pPr>
              <w:pStyle w:val="Default"/>
              <w:jc w:val="both"/>
              <w:rPr>
                <w:sz w:val="22"/>
                <w:szCs w:val="22"/>
              </w:rPr>
            </w:pPr>
            <w:r>
              <w:rPr>
                <w:sz w:val="22"/>
                <w:szCs w:val="22"/>
              </w:rPr>
              <w:t>States “it is found that the simplified Additionality provisions are available in relevant methodologies covering specific DUTs such as efficient lightings, efficient vehicles, and waste water treatment. “</w:t>
            </w:r>
          </w:p>
          <w:p w:rsidR="00B50799" w:rsidRDefault="00B50799" w:rsidP="00B50799">
            <w:pPr>
              <w:pStyle w:val="Default"/>
              <w:jc w:val="both"/>
              <w:rPr>
                <w:sz w:val="22"/>
                <w:szCs w:val="22"/>
              </w:rPr>
            </w:pPr>
          </w:p>
          <w:p w:rsidR="00B50799" w:rsidRDefault="00B50799" w:rsidP="00B50799">
            <w:pPr>
              <w:pStyle w:val="Default"/>
              <w:jc w:val="both"/>
              <w:rPr>
                <w:sz w:val="22"/>
                <w:szCs w:val="22"/>
              </w:rPr>
            </w:pPr>
            <w:r>
              <w:rPr>
                <w:sz w:val="22"/>
                <w:szCs w:val="22"/>
              </w:rPr>
              <w:t>However if you see the methodologies that may not be true. For example if we see AMS IIIC (distributed Vehicles), it invites you to use the small scale methodology. The small scale methodology caters for such technologies only under 11C. It is being proposed to restrict 11C to other technologies.</w:t>
            </w:r>
          </w:p>
          <w:p w:rsidR="00B50799" w:rsidRDefault="00B50799" w:rsidP="00B50799">
            <w:pPr>
              <w:pStyle w:val="Default"/>
              <w:rPr>
                <w:sz w:val="22"/>
                <w:szCs w:val="22"/>
              </w:rPr>
            </w:pPr>
          </w:p>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2F5551">
            <w:pPr>
              <w:keepLines/>
              <w:spacing w:before="40" w:after="40" w:line="190" w:lineRule="exact"/>
              <w:jc w:val="center"/>
              <w:rPr>
                <w:b/>
                <w:bCs/>
                <w:sz w:val="16"/>
                <w:szCs w:val="16"/>
              </w:rPr>
            </w:pPr>
            <w:r>
              <w:rPr>
                <w:b/>
                <w:bCs/>
                <w:sz w:val="16"/>
                <w:szCs w:val="16"/>
              </w:rPr>
              <w:t>Apply the proposal above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0B3924">
            <w:pPr>
              <w:keepLines/>
              <w:spacing w:before="40" w:after="40" w:line="190" w:lineRule="exact"/>
              <w:jc w:val="center"/>
              <w:rPr>
                <w:b/>
                <w:bCs/>
                <w:sz w:val="16"/>
                <w:szCs w:val="16"/>
              </w:rPr>
            </w:pPr>
            <w:r>
              <w:rPr>
                <w:b/>
                <w:bCs/>
                <w:sz w:val="16"/>
                <w:szCs w:val="16"/>
              </w:rPr>
              <w:lastRenderedPageBreak/>
              <w:t>4</w:t>
            </w:r>
          </w:p>
        </w:tc>
        <w:tc>
          <w:tcPr>
            <w:tcW w:w="1388" w:type="dxa"/>
            <w:tcBorders>
              <w:top w:val="single" w:sz="6" w:space="0" w:color="auto"/>
              <w:left w:val="single" w:sz="6" w:space="0" w:color="auto"/>
              <w:bottom w:val="single" w:sz="6" w:space="0" w:color="auto"/>
              <w:right w:val="single" w:sz="6" w:space="0" w:color="auto"/>
            </w:tcBorders>
          </w:tcPr>
          <w:p w:rsidR="00863150" w:rsidRDefault="000B3924">
            <w:pPr>
              <w:keepLines/>
              <w:spacing w:before="40" w:after="40" w:line="190" w:lineRule="exact"/>
              <w:jc w:val="center"/>
              <w:rPr>
                <w:b/>
                <w:bCs/>
                <w:sz w:val="16"/>
                <w:szCs w:val="16"/>
              </w:rPr>
            </w:pPr>
            <w:r>
              <w:rPr>
                <w:b/>
                <w:bCs/>
                <w:sz w:val="16"/>
                <w:szCs w:val="16"/>
              </w:rPr>
              <w:t>Para 2</w:t>
            </w: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0B3924" w:rsidRDefault="000B3924" w:rsidP="000B3924">
            <w:pPr>
              <w:pStyle w:val="Default"/>
              <w:jc w:val="both"/>
              <w:rPr>
                <w:sz w:val="22"/>
                <w:szCs w:val="22"/>
              </w:rPr>
            </w:pPr>
            <w:r>
              <w:rPr>
                <w:sz w:val="22"/>
                <w:szCs w:val="22"/>
              </w:rPr>
              <w:t>Proposal states “EB 94 also agreed not to merge the methodological tools "TOOL19: Demonstration of Additionality of micro scale project activities" and "TOOL21: Demonstration of Additionality of small-scale project activities"</w:t>
            </w:r>
            <w:r w:rsidR="009A5C05">
              <w:rPr>
                <w:sz w:val="22"/>
                <w:szCs w:val="22"/>
              </w:rPr>
              <w:t xml:space="preserve">. </w:t>
            </w:r>
          </w:p>
          <w:p w:rsidR="000B3924" w:rsidRDefault="000B3924" w:rsidP="000B3924">
            <w:pPr>
              <w:pStyle w:val="Default"/>
              <w:jc w:val="both"/>
              <w:rPr>
                <w:sz w:val="22"/>
                <w:szCs w:val="22"/>
              </w:rPr>
            </w:pPr>
          </w:p>
          <w:p w:rsidR="000B3924" w:rsidRDefault="009A5C05" w:rsidP="000B3924">
            <w:pPr>
              <w:pStyle w:val="Default"/>
              <w:jc w:val="both"/>
              <w:rPr>
                <w:sz w:val="22"/>
                <w:szCs w:val="22"/>
              </w:rPr>
            </w:pPr>
            <w:r>
              <w:rPr>
                <w:sz w:val="22"/>
                <w:szCs w:val="22"/>
              </w:rPr>
              <w:t>However merger is different from enhancing clarity. T</w:t>
            </w:r>
            <w:r w:rsidR="000B3924">
              <w:rPr>
                <w:sz w:val="22"/>
                <w:szCs w:val="22"/>
              </w:rPr>
              <w:t>he SSC Additionality tool, while having a flow chart for micro scale demonstration adjacent to a SSC demonstration, it doesn’t have a text in the main body of the tool that directs users to apply the micro scale threshold or flow chart when it applies to their case.</w:t>
            </w:r>
          </w:p>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9A5C05">
            <w:pPr>
              <w:keepLines/>
              <w:spacing w:before="40" w:after="40" w:line="190" w:lineRule="exact"/>
              <w:jc w:val="center"/>
              <w:rPr>
                <w:b/>
                <w:bCs/>
                <w:sz w:val="16"/>
                <w:szCs w:val="16"/>
              </w:rPr>
            </w:pPr>
            <w:r w:rsidRPr="009A5C05">
              <w:rPr>
                <w:color w:val="000000"/>
                <w:lang w:val="en-US"/>
              </w:rPr>
              <w:t>Include under Para 11 that users can use the micro scale threshold or flow chart when it applies to their case</w:t>
            </w:r>
            <w:r>
              <w:rPr>
                <w:color w:val="000000"/>
                <w:lang w:val="en-US"/>
              </w:rPr>
              <w:t>. This may also be used as an alternative for addressing the concern above.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9A5C05">
            <w:pPr>
              <w:keepLines/>
              <w:spacing w:before="40" w:after="40" w:line="190" w:lineRule="exact"/>
              <w:jc w:val="center"/>
              <w:rPr>
                <w:b/>
                <w:bCs/>
                <w:sz w:val="16"/>
                <w:szCs w:val="16"/>
              </w:rPr>
            </w:pPr>
            <w:r>
              <w:rPr>
                <w:b/>
                <w:bCs/>
                <w:sz w:val="16"/>
                <w:szCs w:val="16"/>
              </w:rPr>
              <w:t>5</w:t>
            </w:r>
          </w:p>
        </w:tc>
        <w:tc>
          <w:tcPr>
            <w:tcW w:w="1388" w:type="dxa"/>
            <w:tcBorders>
              <w:top w:val="single" w:sz="6" w:space="0" w:color="auto"/>
              <w:left w:val="single" w:sz="6" w:space="0" w:color="auto"/>
              <w:bottom w:val="single" w:sz="6" w:space="0" w:color="auto"/>
              <w:right w:val="single" w:sz="6" w:space="0" w:color="auto"/>
            </w:tcBorders>
          </w:tcPr>
          <w:p w:rsidR="00863150" w:rsidRDefault="009A5C05">
            <w:pPr>
              <w:keepLines/>
              <w:spacing w:before="40" w:after="40" w:line="190" w:lineRule="exact"/>
              <w:jc w:val="center"/>
              <w:rPr>
                <w:b/>
                <w:bCs/>
                <w:sz w:val="16"/>
                <w:szCs w:val="16"/>
              </w:rPr>
            </w:pPr>
            <w:r>
              <w:rPr>
                <w:b/>
                <w:bCs/>
                <w:sz w:val="16"/>
                <w:szCs w:val="16"/>
              </w:rPr>
              <w:t>Para 49</w:t>
            </w: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9A5C05" w:rsidRDefault="005226D3" w:rsidP="00CB3512">
            <w:pPr>
              <w:pStyle w:val="Default"/>
              <w:rPr>
                <w:sz w:val="22"/>
                <w:szCs w:val="22"/>
              </w:rPr>
            </w:pPr>
            <w:r>
              <w:rPr>
                <w:sz w:val="22"/>
                <w:szCs w:val="22"/>
              </w:rPr>
              <w:t xml:space="preserve">It is </w:t>
            </w:r>
            <w:r w:rsidR="009A5C05">
              <w:rPr>
                <w:sz w:val="22"/>
                <w:szCs w:val="22"/>
              </w:rPr>
              <w:t xml:space="preserve">proposed to include provision [5%] [10%] [20%] participation in the stock in use by end users for specific distributed unit technologies </w:t>
            </w:r>
          </w:p>
          <w:p w:rsidR="009A5C05" w:rsidRDefault="009A5C05" w:rsidP="009A5C05">
            <w:pPr>
              <w:pStyle w:val="Default"/>
              <w:rPr>
                <w:sz w:val="22"/>
                <w:szCs w:val="22"/>
              </w:rPr>
            </w:pPr>
          </w:p>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5226D3" w:rsidP="00FA0399">
            <w:pPr>
              <w:keepLines/>
              <w:spacing w:before="40" w:after="40" w:line="190" w:lineRule="exact"/>
              <w:rPr>
                <w:b/>
                <w:bCs/>
                <w:sz w:val="16"/>
                <w:szCs w:val="16"/>
              </w:rPr>
            </w:pPr>
            <w:r w:rsidRPr="005226D3">
              <w:rPr>
                <w:color w:val="000000"/>
                <w:lang w:val="en-US"/>
              </w:rPr>
              <w:t xml:space="preserve">We recommend 5% as the </w:t>
            </w:r>
            <w:r w:rsidR="002649D5">
              <w:rPr>
                <w:color w:val="000000"/>
                <w:lang w:val="en-US"/>
              </w:rPr>
              <w:t xml:space="preserve">most reasonable </w:t>
            </w:r>
            <w:r w:rsidRPr="005226D3">
              <w:rPr>
                <w:color w:val="000000"/>
                <w:lang w:val="en-US"/>
              </w:rPr>
              <w:t xml:space="preserve">penetration value since </w:t>
            </w:r>
            <w:r w:rsidR="00C12F17">
              <w:rPr>
                <w:color w:val="000000"/>
                <w:lang w:val="en-US"/>
              </w:rPr>
              <w:t xml:space="preserve">applying </w:t>
            </w:r>
            <w:r w:rsidRPr="005226D3">
              <w:rPr>
                <w:color w:val="000000"/>
                <w:lang w:val="en-US"/>
              </w:rPr>
              <w:t xml:space="preserve">10 % for each </w:t>
            </w:r>
            <w:r w:rsidR="00C12F17">
              <w:rPr>
                <w:color w:val="000000"/>
                <w:lang w:val="en-US"/>
              </w:rPr>
              <w:t xml:space="preserve">specific </w:t>
            </w:r>
            <w:r w:rsidRPr="005226D3">
              <w:rPr>
                <w:color w:val="000000"/>
                <w:lang w:val="en-US"/>
              </w:rPr>
              <w:t xml:space="preserve">technology is too much </w:t>
            </w:r>
            <w:r w:rsidR="00FA0399">
              <w:rPr>
                <w:color w:val="000000"/>
                <w:lang w:val="en-US"/>
              </w:rPr>
              <w:t xml:space="preserve">for automaticity </w:t>
            </w:r>
            <w:r w:rsidRPr="005226D3">
              <w:rPr>
                <w:color w:val="000000"/>
                <w:lang w:val="en-US"/>
              </w:rPr>
              <w:t>and 20% is a common practice range</w:t>
            </w:r>
            <w:r w:rsidR="00AC1274">
              <w:rPr>
                <w:color w:val="000000"/>
                <w:lang w:val="en-US"/>
              </w:rPr>
              <w:t xml:space="preserve">. It </w:t>
            </w:r>
            <w:r w:rsidR="00FA0399">
              <w:rPr>
                <w:color w:val="000000"/>
                <w:lang w:val="en-US"/>
              </w:rPr>
              <w:t>doesn’t</w:t>
            </w:r>
            <w:r w:rsidR="00AC1274">
              <w:rPr>
                <w:color w:val="000000"/>
                <w:lang w:val="en-US"/>
              </w:rPr>
              <w:t xml:space="preserve"> </w:t>
            </w:r>
            <w:r w:rsidR="00FA0399">
              <w:rPr>
                <w:color w:val="000000"/>
                <w:lang w:val="en-US"/>
              </w:rPr>
              <w:t>seem</w:t>
            </w:r>
            <w:r w:rsidR="00AC1274">
              <w:rPr>
                <w:color w:val="000000"/>
                <w:lang w:val="en-US"/>
              </w:rPr>
              <w:t xml:space="preserve"> </w:t>
            </w:r>
            <w:r w:rsidR="00FA0399">
              <w:rPr>
                <w:color w:val="000000"/>
                <w:lang w:val="en-US"/>
              </w:rPr>
              <w:t>comfortable</w:t>
            </w:r>
            <w:r w:rsidR="00AC1274">
              <w:rPr>
                <w:color w:val="000000"/>
                <w:lang w:val="en-US"/>
              </w:rPr>
              <w:t xml:space="preserve"> to recommend to remove a 1% unit provision and allow a </w:t>
            </w:r>
            <w:r w:rsidR="009D033B">
              <w:rPr>
                <w:color w:val="000000"/>
                <w:lang w:val="en-US"/>
              </w:rPr>
              <w:t>10</w:t>
            </w:r>
            <w:r w:rsidR="00AC1274">
              <w:rPr>
                <w:color w:val="000000"/>
                <w:lang w:val="en-US"/>
              </w:rPr>
              <w:t>% penetration.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r w:rsidR="00863150"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rsidR="00863150" w:rsidRDefault="00863150">
            <w:pPr>
              <w:keepLines/>
              <w:spacing w:before="40" w:after="40" w:line="190" w:lineRule="exact"/>
              <w:jc w:val="center"/>
              <w:rPr>
                <w:b/>
                <w:bCs/>
                <w:sz w:val="16"/>
                <w:szCs w:val="16"/>
              </w:rPr>
            </w:pPr>
          </w:p>
        </w:tc>
      </w:tr>
    </w:tbl>
    <w:p w:rsidR="00DF4F6B" w:rsidRDefault="00DF4F6B">
      <w:pPr>
        <w:spacing w:line="240" w:lineRule="exact"/>
      </w:pPr>
    </w:p>
    <w:sectPr w:rsidR="00DF4F6B" w:rsidSect="00627226">
      <w:headerReference w:type="default" r:id="rId7"/>
      <w:footerReference w:type="even" r:id="rId8"/>
      <w:footerReference w:type="default" r:id="rId9"/>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610" w:rsidRDefault="00B13610" w:rsidP="00DF4F6B">
      <w:r>
        <w:separator/>
      </w:r>
    </w:p>
  </w:endnote>
  <w:endnote w:type="continuationSeparator" w:id="1">
    <w:p w:rsidR="00B13610" w:rsidRDefault="00B13610" w:rsidP="00DF4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30" w:rsidRDefault="00627226" w:rsidP="009E2FBD">
    <w:pPr>
      <w:pStyle w:val="Footer"/>
      <w:framePr w:wrap="around" w:vAnchor="text" w:hAnchor="margin" w:xAlign="right" w:y="1"/>
      <w:rPr>
        <w:rStyle w:val="PageNumber"/>
      </w:rPr>
    </w:pPr>
    <w:r>
      <w:rPr>
        <w:rStyle w:val="PageNumber"/>
      </w:rPr>
      <w:fldChar w:fldCharType="begin"/>
    </w:r>
    <w:r w:rsidR="00F37030">
      <w:rPr>
        <w:rStyle w:val="PageNumber"/>
      </w:rPr>
      <w:instrText xml:space="preserve">PAGE  </w:instrText>
    </w:r>
    <w:r>
      <w:rPr>
        <w:rStyle w:val="PageNumber"/>
      </w:rPr>
      <w:fldChar w:fldCharType="end"/>
    </w:r>
  </w:p>
  <w:p w:rsidR="00F37030" w:rsidRDefault="00F37030" w:rsidP="00DF4E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30" w:rsidRDefault="00627226" w:rsidP="009E2FBD">
    <w:pPr>
      <w:pStyle w:val="Footer"/>
      <w:framePr w:wrap="around" w:vAnchor="text" w:hAnchor="margin" w:xAlign="right" w:y="1"/>
      <w:rPr>
        <w:rStyle w:val="PageNumber"/>
      </w:rPr>
    </w:pPr>
    <w:r>
      <w:rPr>
        <w:rStyle w:val="PageNumber"/>
      </w:rPr>
      <w:fldChar w:fldCharType="begin"/>
    </w:r>
    <w:r w:rsidR="00F37030">
      <w:rPr>
        <w:rStyle w:val="PageNumber"/>
      </w:rPr>
      <w:instrText xml:space="preserve">PAGE  </w:instrText>
    </w:r>
    <w:r>
      <w:rPr>
        <w:rStyle w:val="PageNumber"/>
      </w:rPr>
      <w:fldChar w:fldCharType="separate"/>
    </w:r>
    <w:r w:rsidR="00673C1A">
      <w:rPr>
        <w:rStyle w:val="PageNumber"/>
        <w:noProof/>
      </w:rPr>
      <w:t>1</w:t>
    </w:r>
    <w:r>
      <w:rPr>
        <w:rStyle w:val="PageNumber"/>
      </w:rPr>
      <w:fldChar w:fldCharType="end"/>
    </w:r>
  </w:p>
  <w:p w:rsidR="00F37030" w:rsidRDefault="00F37030" w:rsidP="00DF4E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610" w:rsidRDefault="00B13610" w:rsidP="00DF4F6B">
      <w:r>
        <w:separator/>
      </w:r>
    </w:p>
  </w:footnote>
  <w:footnote w:type="continuationSeparator" w:id="1">
    <w:p w:rsidR="00B13610" w:rsidRDefault="00B13610" w:rsidP="00DF4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tblPr>
    <w:tblGrid>
      <w:gridCol w:w="8688"/>
      <w:gridCol w:w="2294"/>
      <w:gridCol w:w="4521"/>
    </w:tblGrid>
    <w:tr w:rsidR="00F37030">
      <w:trPr>
        <w:cantSplit/>
        <w:jc w:val="center"/>
      </w:trPr>
      <w:tc>
        <w:tcPr>
          <w:tcW w:w="8688" w:type="dxa"/>
          <w:tcBorders>
            <w:top w:val="nil"/>
            <w:left w:val="nil"/>
            <w:bottom w:val="nil"/>
            <w:right w:val="nil"/>
          </w:tcBorders>
        </w:tcPr>
        <w:p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rsidR="00F37030" w:rsidRPr="00777AC5" w:rsidRDefault="00F37030">
          <w:pPr>
            <w:pStyle w:val="ISOChange"/>
            <w:spacing w:before="60" w:after="60"/>
            <w:rPr>
              <w:b/>
              <w:sz w:val="22"/>
            </w:rPr>
          </w:pPr>
          <w:r w:rsidRPr="00777AC5">
            <w:rPr>
              <w:b/>
              <w:sz w:val="22"/>
            </w:rPr>
            <w:t xml:space="preserve">Date: </w:t>
          </w:r>
          <w:r w:rsidR="0073186D">
            <w:rPr>
              <w:b/>
              <w:sz w:val="22"/>
            </w:rPr>
            <w:t>05/11/2017</w:t>
          </w:r>
        </w:p>
      </w:tc>
      <w:tc>
        <w:tcPr>
          <w:tcW w:w="4521" w:type="dxa"/>
          <w:tcBorders>
            <w:top w:val="single" w:sz="6" w:space="0" w:color="auto"/>
            <w:left w:val="single" w:sz="6" w:space="0" w:color="auto"/>
            <w:bottom w:val="single" w:sz="6" w:space="0" w:color="auto"/>
            <w:right w:val="single" w:sz="6" w:space="0" w:color="auto"/>
          </w:tcBorders>
        </w:tcPr>
        <w:p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rsidR="00F37030" w:rsidRDefault="00F37030">
    <w:pPr>
      <w:pStyle w:val="Header"/>
    </w:pPr>
  </w:p>
  <w:p w:rsidR="00F37030" w:rsidRDefault="00F37030">
    <w:pPr>
      <w:pStyle w:val="Header"/>
      <w:rPr>
        <w:sz w:val="2"/>
        <w:szCs w:val="2"/>
      </w:rPr>
    </w:pPr>
  </w:p>
  <w:p w:rsidR="00F37030" w:rsidRDefault="00F37030">
    <w:pPr>
      <w:pStyle w:val="Header"/>
      <w:spacing w:line="14" w:lineRule="exac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03642"/>
    <w:multiLevelType w:val="hybridMultilevel"/>
    <w:tmpl w:val="38EF3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463F2D"/>
    <w:multiLevelType w:val="hybridMultilevel"/>
    <w:tmpl w:val="C9E15E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E248C6F"/>
    <w:multiLevelType w:val="hybridMultilevel"/>
    <w:tmpl w:val="2D6BAC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D95A6F0"/>
    <w:multiLevelType w:val="hybridMultilevel"/>
    <w:tmpl w:val="AF8762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0A44454"/>
    <w:multiLevelType w:val="hybridMultilevel"/>
    <w:tmpl w:val="9CD736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8C51F1A"/>
    <w:multiLevelType w:val="hybridMultilevel"/>
    <w:tmpl w:val="C6A66C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E72694"/>
    <w:multiLevelType w:val="hybridMultilevel"/>
    <w:tmpl w:val="477A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8">
    <w:nsid w:val="7D7BC8EC"/>
    <w:multiLevelType w:val="hybridMultilevel"/>
    <w:tmpl w:val="E57683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
  </w:num>
  <w:num w:numId="3">
    <w:abstractNumId w:val="8"/>
  </w:num>
  <w:num w:numId="4">
    <w:abstractNumId w:val="3"/>
  </w:num>
  <w:num w:numId="5">
    <w:abstractNumId w:val="6"/>
  </w:num>
  <w:num w:numId="6">
    <w:abstractNumId w:val="5"/>
  </w:num>
  <w:num w:numId="7">
    <w:abstractNumId w:val="1"/>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intFractionalCharacterWidth/>
  <w:stylePaneFormatFilter w:val="3F01"/>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docVars>
    <w:docVar w:name="O974ISO" w:val="-1"/>
  </w:docVars>
  <w:rsids>
    <w:rsidRoot w:val="004248BD"/>
    <w:rsid w:val="00044598"/>
    <w:rsid w:val="000B3924"/>
    <w:rsid w:val="001D0F91"/>
    <w:rsid w:val="001E3876"/>
    <w:rsid w:val="001F6418"/>
    <w:rsid w:val="002649D5"/>
    <w:rsid w:val="002F135C"/>
    <w:rsid w:val="002F5551"/>
    <w:rsid w:val="0033499E"/>
    <w:rsid w:val="00366FD7"/>
    <w:rsid w:val="003709C2"/>
    <w:rsid w:val="00405FB3"/>
    <w:rsid w:val="004248BD"/>
    <w:rsid w:val="00445F72"/>
    <w:rsid w:val="00450EEA"/>
    <w:rsid w:val="00472C3C"/>
    <w:rsid w:val="005226D3"/>
    <w:rsid w:val="005242C9"/>
    <w:rsid w:val="005533EE"/>
    <w:rsid w:val="005A256D"/>
    <w:rsid w:val="005B1074"/>
    <w:rsid w:val="00627226"/>
    <w:rsid w:val="00673C1A"/>
    <w:rsid w:val="006C144A"/>
    <w:rsid w:val="006D0849"/>
    <w:rsid w:val="006F32C1"/>
    <w:rsid w:val="0073186D"/>
    <w:rsid w:val="00777AC5"/>
    <w:rsid w:val="007D6248"/>
    <w:rsid w:val="00841D26"/>
    <w:rsid w:val="00863150"/>
    <w:rsid w:val="009177A1"/>
    <w:rsid w:val="00981D31"/>
    <w:rsid w:val="009A3643"/>
    <w:rsid w:val="009A5C05"/>
    <w:rsid w:val="009D033B"/>
    <w:rsid w:val="009D0F11"/>
    <w:rsid w:val="009E2FBD"/>
    <w:rsid w:val="009F61CD"/>
    <w:rsid w:val="00A13B92"/>
    <w:rsid w:val="00A7186D"/>
    <w:rsid w:val="00AC1274"/>
    <w:rsid w:val="00B13610"/>
    <w:rsid w:val="00B3792D"/>
    <w:rsid w:val="00B50799"/>
    <w:rsid w:val="00C12F17"/>
    <w:rsid w:val="00C33E85"/>
    <w:rsid w:val="00C408D1"/>
    <w:rsid w:val="00C5429D"/>
    <w:rsid w:val="00C630BD"/>
    <w:rsid w:val="00CB3512"/>
    <w:rsid w:val="00CC0EB7"/>
    <w:rsid w:val="00D131BD"/>
    <w:rsid w:val="00D36C4F"/>
    <w:rsid w:val="00D6268F"/>
    <w:rsid w:val="00DF4E03"/>
    <w:rsid w:val="00DF4F6B"/>
    <w:rsid w:val="00E53BDE"/>
    <w:rsid w:val="00E55420"/>
    <w:rsid w:val="00E60C4A"/>
    <w:rsid w:val="00EE5FD1"/>
    <w:rsid w:val="00F27817"/>
    <w:rsid w:val="00F37030"/>
    <w:rsid w:val="00F65050"/>
    <w:rsid w:val="00F819A3"/>
    <w:rsid w:val="00FA0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226"/>
    <w:pPr>
      <w:jc w:val="both"/>
    </w:pPr>
    <w:rPr>
      <w:rFonts w:ascii="Arial" w:hAnsi="Arial" w:cs="Arial"/>
      <w:sz w:val="22"/>
      <w:szCs w:val="22"/>
      <w:lang w:val="en-GB"/>
    </w:rPr>
  </w:style>
  <w:style w:type="paragraph" w:styleId="Heading1">
    <w:name w:val="heading 1"/>
    <w:basedOn w:val="Normal"/>
    <w:next w:val="Normal"/>
    <w:qFormat/>
    <w:rsid w:val="00627226"/>
    <w:pPr>
      <w:keepNext/>
      <w:spacing w:before="120" w:after="200"/>
      <w:outlineLvl w:val="0"/>
    </w:pPr>
    <w:rPr>
      <w:b/>
      <w:bCs/>
      <w:sz w:val="24"/>
      <w:szCs w:val="24"/>
    </w:rPr>
  </w:style>
  <w:style w:type="paragraph" w:styleId="Heading2">
    <w:name w:val="heading 2"/>
    <w:basedOn w:val="Heading1"/>
    <w:next w:val="Normal"/>
    <w:qFormat/>
    <w:rsid w:val="00627226"/>
    <w:pPr>
      <w:spacing w:before="0"/>
      <w:ind w:left="567" w:hanging="567"/>
      <w:outlineLvl w:val="1"/>
    </w:pPr>
    <w:rPr>
      <w:sz w:val="22"/>
      <w:szCs w:val="22"/>
    </w:rPr>
  </w:style>
  <w:style w:type="paragraph" w:styleId="Heading3">
    <w:name w:val="heading 3"/>
    <w:basedOn w:val="Heading2"/>
    <w:next w:val="Normal"/>
    <w:qFormat/>
    <w:rsid w:val="00627226"/>
    <w:pPr>
      <w:outlineLvl w:val="2"/>
    </w:pPr>
    <w:rPr>
      <w:b w:val="0"/>
      <w:bCs w:val="0"/>
    </w:rPr>
  </w:style>
  <w:style w:type="paragraph" w:styleId="Heading4">
    <w:name w:val="heading 4"/>
    <w:basedOn w:val="Heading3"/>
    <w:next w:val="Normal"/>
    <w:qFormat/>
    <w:rsid w:val="0062722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rsid w:val="00627226"/>
  </w:style>
  <w:style w:type="paragraph" w:styleId="Footer">
    <w:name w:val="footer"/>
    <w:basedOn w:val="Normal"/>
    <w:rsid w:val="00627226"/>
    <w:pPr>
      <w:tabs>
        <w:tab w:val="center" w:pos="4820"/>
        <w:tab w:val="right" w:pos="9639"/>
      </w:tabs>
    </w:pPr>
  </w:style>
  <w:style w:type="paragraph" w:customStyle="1" w:styleId="ISOMB">
    <w:name w:val="ISO_MB"/>
    <w:basedOn w:val="Normal"/>
    <w:rsid w:val="00627226"/>
    <w:pPr>
      <w:spacing w:before="210" w:line="210" w:lineRule="exact"/>
      <w:jc w:val="left"/>
    </w:pPr>
    <w:rPr>
      <w:sz w:val="18"/>
      <w:szCs w:val="18"/>
    </w:rPr>
  </w:style>
  <w:style w:type="paragraph" w:customStyle="1" w:styleId="ISOClause">
    <w:name w:val="ISO_Clause"/>
    <w:basedOn w:val="Normal"/>
    <w:rsid w:val="00627226"/>
    <w:pPr>
      <w:spacing w:before="210" w:line="210" w:lineRule="exact"/>
      <w:jc w:val="left"/>
    </w:pPr>
    <w:rPr>
      <w:sz w:val="18"/>
      <w:szCs w:val="18"/>
    </w:rPr>
  </w:style>
  <w:style w:type="paragraph" w:customStyle="1" w:styleId="ISOParagraph">
    <w:name w:val="ISO_Paragraph"/>
    <w:basedOn w:val="Normal"/>
    <w:rsid w:val="00627226"/>
    <w:pPr>
      <w:spacing w:before="210" w:line="210" w:lineRule="exact"/>
      <w:jc w:val="left"/>
    </w:pPr>
    <w:rPr>
      <w:sz w:val="18"/>
      <w:szCs w:val="18"/>
    </w:rPr>
  </w:style>
  <w:style w:type="character" w:styleId="PageNumber">
    <w:name w:val="page number"/>
    <w:basedOn w:val="DefaultParagraphFont"/>
    <w:rsid w:val="00627226"/>
    <w:rPr>
      <w:sz w:val="20"/>
      <w:szCs w:val="20"/>
    </w:rPr>
  </w:style>
  <w:style w:type="paragraph" w:customStyle="1" w:styleId="ISOCommType">
    <w:name w:val="ISO_Comm_Type"/>
    <w:basedOn w:val="Normal"/>
    <w:rsid w:val="00627226"/>
    <w:pPr>
      <w:spacing w:before="210" w:line="210" w:lineRule="exact"/>
      <w:jc w:val="left"/>
    </w:pPr>
    <w:rPr>
      <w:sz w:val="18"/>
      <w:szCs w:val="18"/>
    </w:rPr>
  </w:style>
  <w:style w:type="paragraph" w:customStyle="1" w:styleId="ISOComments">
    <w:name w:val="ISO_Comments"/>
    <w:basedOn w:val="Normal"/>
    <w:rsid w:val="00627226"/>
    <w:pPr>
      <w:spacing w:before="210" w:line="210" w:lineRule="exact"/>
      <w:jc w:val="left"/>
    </w:pPr>
    <w:rPr>
      <w:sz w:val="18"/>
      <w:szCs w:val="18"/>
    </w:rPr>
  </w:style>
  <w:style w:type="paragraph" w:customStyle="1" w:styleId="ISOChange">
    <w:name w:val="ISO_Change"/>
    <w:basedOn w:val="Normal"/>
    <w:rsid w:val="00627226"/>
    <w:pPr>
      <w:spacing w:before="210" w:line="210" w:lineRule="exact"/>
      <w:jc w:val="left"/>
    </w:pPr>
    <w:rPr>
      <w:sz w:val="18"/>
      <w:szCs w:val="18"/>
    </w:rPr>
  </w:style>
  <w:style w:type="paragraph" w:customStyle="1" w:styleId="ISOSecretObservations">
    <w:name w:val="ISO_Secret_Observations"/>
    <w:basedOn w:val="Normal"/>
    <w:rsid w:val="00627226"/>
    <w:pPr>
      <w:spacing w:before="210" w:line="210" w:lineRule="exact"/>
      <w:jc w:val="left"/>
    </w:pPr>
    <w:rPr>
      <w:sz w:val="18"/>
      <w:szCs w:val="18"/>
    </w:rPr>
  </w:style>
  <w:style w:type="character" w:customStyle="1" w:styleId="MTEquationSection">
    <w:name w:val="MTEquationSection"/>
    <w:basedOn w:val="DefaultParagraphFont"/>
    <w:rsid w:val="00627226"/>
    <w:rPr>
      <w:color w:val="FF0000"/>
      <w:sz w:val="16"/>
      <w:szCs w:val="16"/>
    </w:rPr>
  </w:style>
  <w:style w:type="paragraph" w:styleId="FootnoteText">
    <w:name w:val="footnote text"/>
    <w:basedOn w:val="Normal"/>
    <w:semiHidden/>
    <w:rsid w:val="00627226"/>
    <w:rPr>
      <w:sz w:val="20"/>
      <w:szCs w:val="20"/>
    </w:rPr>
  </w:style>
  <w:style w:type="character" w:styleId="FootnoteReference">
    <w:name w:val="footnote reference"/>
    <w:basedOn w:val="DefaultParagraphFont"/>
    <w:semiHidden/>
    <w:rsid w:val="00627226"/>
    <w:rPr>
      <w:vertAlign w:val="superscript"/>
    </w:rPr>
  </w:style>
  <w:style w:type="character" w:customStyle="1" w:styleId="mtequationsection0">
    <w:name w:val="mtequationsection"/>
    <w:basedOn w:val="DefaultParagraphFont"/>
    <w:rsid w:val="00627226"/>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customStyle="1" w:styleId="Default">
    <w:name w:val="Default"/>
    <w:rsid w:val="001F641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5F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creator>dow</dc:creator>
  <dc:description>FORM (ISO)</dc:description>
  <cp:lastModifiedBy>Dell</cp:lastModifiedBy>
  <cp:revision>2</cp:revision>
  <cp:lastPrinted>2001-10-25T13:04:00Z</cp:lastPrinted>
  <dcterms:created xsi:type="dcterms:W3CDTF">2017-11-05T13:16:00Z</dcterms:created>
  <dcterms:modified xsi:type="dcterms:W3CDTF">2017-11-05T13:16:00Z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